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7C405" w14:textId="357CF4A7" w:rsidR="00E203C2" w:rsidRDefault="00E203C2" w:rsidP="00E203C2">
      <w:bookmarkStart w:id="0" w:name="_GoBack"/>
      <w:bookmarkEnd w:id="0"/>
      <w:r>
        <w:rPr>
          <w:noProof/>
          <w:lang w:eastAsia="en-GB" w:bidi="ar-SA"/>
        </w:rPr>
        <w:drawing>
          <wp:inline distT="0" distB="0" distL="0" distR="0" wp14:anchorId="1F88CAB0" wp14:editId="15C275A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1E7D78B" w14:textId="77777777" w:rsidR="00E203C2" w:rsidRDefault="00E203C2" w:rsidP="00E203C2"/>
    <w:p w14:paraId="1644E6A3" w14:textId="130910CA" w:rsidR="00CA641D" w:rsidRPr="006F4F4C" w:rsidRDefault="006F4F4C" w:rsidP="00CA641D">
      <w:pPr>
        <w:rPr>
          <w:b/>
          <w:sz w:val="28"/>
          <w:szCs w:val="28"/>
        </w:rPr>
      </w:pPr>
      <w:r w:rsidRPr="006F4F4C">
        <w:rPr>
          <w:b/>
          <w:sz w:val="28"/>
          <w:szCs w:val="28"/>
        </w:rPr>
        <w:t>9 October 2019</w:t>
      </w:r>
    </w:p>
    <w:p w14:paraId="6C50A758" w14:textId="249C61C7" w:rsidR="00CA641D" w:rsidRPr="006F4F4C" w:rsidRDefault="006F4F4C" w:rsidP="00CA641D">
      <w:pPr>
        <w:rPr>
          <w:b/>
          <w:sz w:val="28"/>
          <w:szCs w:val="28"/>
        </w:rPr>
      </w:pPr>
      <w:r w:rsidRPr="006F4F4C">
        <w:rPr>
          <w:b/>
          <w:sz w:val="28"/>
          <w:szCs w:val="28"/>
        </w:rPr>
        <w:t>[98-19</w:t>
      </w:r>
      <w:r w:rsidR="00CA641D" w:rsidRPr="006F4F4C">
        <w:rPr>
          <w:b/>
          <w:sz w:val="28"/>
          <w:szCs w:val="28"/>
        </w:rPr>
        <w:t>]</w:t>
      </w:r>
    </w:p>
    <w:p w14:paraId="6D30DAA5" w14:textId="77777777" w:rsidR="0057615C" w:rsidRPr="0057615C" w:rsidRDefault="0057615C" w:rsidP="00690206">
      <w:pPr>
        <w:pStyle w:val="FSTitle"/>
        <w:rPr>
          <w:b/>
          <w:sz w:val="22"/>
        </w:rPr>
      </w:pPr>
    </w:p>
    <w:p w14:paraId="0640D991" w14:textId="2B4B1035" w:rsidR="00092CDA" w:rsidRPr="005B7A73" w:rsidRDefault="00092CDA" w:rsidP="00690206">
      <w:pPr>
        <w:pStyle w:val="FSTitle"/>
        <w:rPr>
          <w:b/>
        </w:rPr>
      </w:pPr>
      <w:r w:rsidRPr="005B7A73">
        <w:rPr>
          <w:b/>
        </w:rPr>
        <w:t>S</w:t>
      </w:r>
      <w:r w:rsidR="008A68C4">
        <w:rPr>
          <w:b/>
        </w:rPr>
        <w:t>upporting D</w:t>
      </w:r>
      <w:r w:rsidR="00B12F1E" w:rsidRPr="005B7A73">
        <w:rPr>
          <w:b/>
        </w:rPr>
        <w:t>ocument</w:t>
      </w:r>
      <w:r w:rsidRPr="005B7A73">
        <w:rPr>
          <w:b/>
        </w:rPr>
        <w:t xml:space="preserve"> </w:t>
      </w:r>
      <w:r w:rsidR="0075271B" w:rsidRPr="00195457">
        <w:rPr>
          <w:b/>
        </w:rPr>
        <w:t>1</w:t>
      </w:r>
    </w:p>
    <w:p w14:paraId="00E73944" w14:textId="77777777" w:rsidR="00BA24E2" w:rsidRDefault="00BA24E2" w:rsidP="00E203C2"/>
    <w:p w14:paraId="418C91E9" w14:textId="77777777" w:rsidR="00D056F1" w:rsidRPr="00195457" w:rsidRDefault="00320839" w:rsidP="00690206">
      <w:pPr>
        <w:pStyle w:val="FSTitle"/>
      </w:pPr>
      <w:r w:rsidRPr="00195457">
        <w:t>Risk assessment</w:t>
      </w:r>
      <w:r w:rsidR="006B5EBE" w:rsidRPr="00195457">
        <w:t xml:space="preserve"> – </w:t>
      </w:r>
      <w:r w:rsidR="00D056F1" w:rsidRPr="00195457">
        <w:t>A</w:t>
      </w:r>
      <w:r w:rsidR="00B12F1E" w:rsidRPr="00195457">
        <w:t>pplication</w:t>
      </w:r>
      <w:r w:rsidR="000E4FC2" w:rsidRPr="00195457">
        <w:t xml:space="preserve"> A1181</w:t>
      </w:r>
    </w:p>
    <w:p w14:paraId="48C677EE" w14:textId="77777777" w:rsidR="00E203C2" w:rsidRPr="00195457" w:rsidRDefault="00E203C2" w:rsidP="00690206"/>
    <w:p w14:paraId="00F3B411" w14:textId="3700E37A" w:rsidR="00D056F1" w:rsidRPr="00195457" w:rsidRDefault="000E4FC2" w:rsidP="00690206">
      <w:pPr>
        <w:pStyle w:val="FSTitle"/>
      </w:pPr>
      <w:r w:rsidRPr="00195457">
        <w:t xml:space="preserve">Maximum Residue Limit for Imazapyr in </w:t>
      </w:r>
      <w:r w:rsidR="004A1F03">
        <w:t>B</w:t>
      </w:r>
      <w:r w:rsidRPr="00195457">
        <w:t xml:space="preserve">arley </w:t>
      </w:r>
    </w:p>
    <w:p w14:paraId="204F920C" w14:textId="77777777" w:rsidR="00E203C2" w:rsidRPr="00B37BF0" w:rsidRDefault="00E203C2" w:rsidP="00E203C2">
      <w:pPr>
        <w:pBdr>
          <w:bottom w:val="single" w:sz="12" w:space="1" w:color="auto"/>
        </w:pBdr>
        <w:spacing w:line="280" w:lineRule="exact"/>
        <w:rPr>
          <w:rFonts w:cs="Arial"/>
          <w:bCs/>
        </w:rPr>
      </w:pPr>
    </w:p>
    <w:p w14:paraId="27A28DBC" w14:textId="77777777" w:rsidR="00E203C2" w:rsidRPr="00B37BF0" w:rsidRDefault="00E203C2" w:rsidP="00E203C2"/>
    <w:p w14:paraId="22242D31" w14:textId="77777777" w:rsidR="00092CDA" w:rsidRPr="00092CDA" w:rsidRDefault="00092CDA" w:rsidP="00352CF2">
      <w:pPr>
        <w:pStyle w:val="Heading1"/>
        <w:spacing w:before="0"/>
      </w:pPr>
      <w:bookmarkStart w:id="1" w:name="_Toc286391001"/>
      <w:bookmarkStart w:id="2" w:name="_Toc300933414"/>
      <w:bookmarkStart w:id="3" w:name="_Toc453078193"/>
      <w:bookmarkStart w:id="4" w:name="_Toc19629404"/>
      <w:r w:rsidRPr="00092CDA">
        <w:t xml:space="preserve">Executive </w:t>
      </w:r>
      <w:r w:rsidR="00B12F1E">
        <w:t>s</w:t>
      </w:r>
      <w:r w:rsidRPr="00092CDA">
        <w:t>ummary</w:t>
      </w:r>
      <w:bookmarkEnd w:id="1"/>
      <w:bookmarkEnd w:id="2"/>
      <w:bookmarkEnd w:id="3"/>
      <w:bookmarkEnd w:id="4"/>
    </w:p>
    <w:p w14:paraId="353A76A4" w14:textId="7502AD54" w:rsidR="003A331C" w:rsidRDefault="00620873" w:rsidP="003A331C">
      <w:pPr>
        <w:spacing w:after="240"/>
      </w:pPr>
      <w:r>
        <w:rPr>
          <w:szCs w:val="22"/>
        </w:rPr>
        <w:t>This supporting d</w:t>
      </w:r>
      <w:r w:rsidR="003A331C">
        <w:rPr>
          <w:szCs w:val="22"/>
        </w:rPr>
        <w:t xml:space="preserve">ocument provides information relating to the results of </w:t>
      </w:r>
      <w:r w:rsidR="00FE24AF">
        <w:rPr>
          <w:szCs w:val="22"/>
        </w:rPr>
        <w:t xml:space="preserve">the </w:t>
      </w:r>
      <w:r w:rsidR="00F55444">
        <w:rPr>
          <w:szCs w:val="22"/>
        </w:rPr>
        <w:t xml:space="preserve">risk and </w:t>
      </w:r>
      <w:r w:rsidR="00FE24AF">
        <w:rPr>
          <w:szCs w:val="22"/>
        </w:rPr>
        <w:t>dietary exposure assessment</w:t>
      </w:r>
      <w:r w:rsidR="00F55444">
        <w:rPr>
          <w:szCs w:val="22"/>
        </w:rPr>
        <w:t>s</w:t>
      </w:r>
      <w:r w:rsidR="003A331C">
        <w:rPr>
          <w:szCs w:val="22"/>
        </w:rPr>
        <w:t xml:space="preserve"> undertaken for the requested agricultural and veterinary (agvet) chemical, </w:t>
      </w:r>
      <w:r w:rsidR="004A1F03">
        <w:rPr>
          <w:szCs w:val="22"/>
        </w:rPr>
        <w:t>i</w:t>
      </w:r>
      <w:r w:rsidR="003A331C">
        <w:rPr>
          <w:szCs w:val="22"/>
        </w:rPr>
        <w:t xml:space="preserve">mazapyr in barley for the </w:t>
      </w:r>
      <w:r w:rsidR="00FE24AF">
        <w:rPr>
          <w:szCs w:val="22"/>
        </w:rPr>
        <w:t xml:space="preserve">paid </w:t>
      </w:r>
      <w:r w:rsidR="009E46AF">
        <w:rPr>
          <w:szCs w:val="22"/>
        </w:rPr>
        <w:t xml:space="preserve">MRL </w:t>
      </w:r>
      <w:r w:rsidR="003A331C">
        <w:rPr>
          <w:szCs w:val="22"/>
        </w:rPr>
        <w:t>Application A1181.</w:t>
      </w:r>
    </w:p>
    <w:p w14:paraId="1EE6468D" w14:textId="0011ED10" w:rsidR="003A331C" w:rsidRPr="00253146" w:rsidRDefault="00FE24AF" w:rsidP="003A331C">
      <w:pPr>
        <w:pStyle w:val="Default"/>
        <w:spacing w:after="240"/>
        <w:rPr>
          <w:sz w:val="22"/>
          <w:szCs w:val="22"/>
        </w:rPr>
      </w:pPr>
      <w:r>
        <w:rPr>
          <w:sz w:val="22"/>
          <w:szCs w:val="22"/>
        </w:rPr>
        <w:t>The</w:t>
      </w:r>
      <w:r w:rsidR="003A331C">
        <w:rPr>
          <w:sz w:val="22"/>
          <w:szCs w:val="22"/>
        </w:rPr>
        <w:t xml:space="preserve"> </w:t>
      </w:r>
      <w:r w:rsidR="00F55444">
        <w:rPr>
          <w:sz w:val="22"/>
          <w:szCs w:val="22"/>
        </w:rPr>
        <w:t>dietary exposure assessment (</w:t>
      </w:r>
      <w:r w:rsidR="003A331C">
        <w:rPr>
          <w:sz w:val="22"/>
          <w:szCs w:val="22"/>
        </w:rPr>
        <w:t>DEA</w:t>
      </w:r>
      <w:r w:rsidR="00F55444">
        <w:rPr>
          <w:sz w:val="22"/>
          <w:szCs w:val="22"/>
        </w:rPr>
        <w:t>)</w:t>
      </w:r>
      <w:r w:rsidR="003A331C">
        <w:rPr>
          <w:sz w:val="22"/>
          <w:szCs w:val="22"/>
        </w:rPr>
        <w:t xml:space="preserve"> was undertaken using the </w:t>
      </w:r>
      <w:r w:rsidR="0096344C">
        <w:rPr>
          <w:sz w:val="22"/>
          <w:szCs w:val="22"/>
        </w:rPr>
        <w:t>relevant h</w:t>
      </w:r>
      <w:r>
        <w:rPr>
          <w:sz w:val="22"/>
          <w:szCs w:val="22"/>
        </w:rPr>
        <w:t xml:space="preserve">ealth </w:t>
      </w:r>
      <w:r w:rsidR="0096344C">
        <w:rPr>
          <w:sz w:val="22"/>
          <w:szCs w:val="22"/>
        </w:rPr>
        <w:t>b</w:t>
      </w:r>
      <w:r>
        <w:rPr>
          <w:sz w:val="22"/>
          <w:szCs w:val="22"/>
        </w:rPr>
        <w:t xml:space="preserve">ased </w:t>
      </w:r>
      <w:r w:rsidR="0096344C">
        <w:rPr>
          <w:sz w:val="22"/>
          <w:szCs w:val="22"/>
        </w:rPr>
        <w:t>guidance v</w:t>
      </w:r>
      <w:r>
        <w:rPr>
          <w:sz w:val="22"/>
          <w:szCs w:val="22"/>
        </w:rPr>
        <w:t xml:space="preserve">alue (HBGV), </w:t>
      </w:r>
      <w:r w:rsidR="00AF7DE1">
        <w:rPr>
          <w:sz w:val="22"/>
          <w:szCs w:val="22"/>
        </w:rPr>
        <w:t>which for this chemical was the</w:t>
      </w:r>
      <w:r>
        <w:rPr>
          <w:sz w:val="22"/>
          <w:szCs w:val="22"/>
        </w:rPr>
        <w:t xml:space="preserve"> Acceptable Daily Intake (ADI) established by the </w:t>
      </w:r>
      <w:r w:rsidR="003A331C">
        <w:rPr>
          <w:sz w:val="22"/>
          <w:szCs w:val="22"/>
        </w:rPr>
        <w:t>Australian Pesticides and Veterinary Medicines Authority (APVMA) or the Joint Food and Agriculture Organization / World Health Organization Meeting on Pesticide Residues (JMPR)</w:t>
      </w:r>
      <w:r w:rsidR="003A331C" w:rsidRPr="000F6E13">
        <w:rPr>
          <w:sz w:val="22"/>
          <w:szCs w:val="22"/>
        </w:rPr>
        <w:t xml:space="preserve">. </w:t>
      </w:r>
      <w:r w:rsidR="003A331C">
        <w:rPr>
          <w:sz w:val="22"/>
          <w:szCs w:val="22"/>
        </w:rPr>
        <w:t xml:space="preserve">The DEA method used </w:t>
      </w:r>
      <w:r w:rsidR="00AF7DE1">
        <w:rPr>
          <w:sz w:val="22"/>
          <w:szCs w:val="22"/>
        </w:rPr>
        <w:t xml:space="preserve">is </w:t>
      </w:r>
      <w:r w:rsidR="003A331C">
        <w:rPr>
          <w:sz w:val="22"/>
          <w:szCs w:val="22"/>
        </w:rPr>
        <w:t xml:space="preserve">consistent with internationally accepted methodologies, the APVMA’s risk assessment framework for approving and registering </w:t>
      </w:r>
      <w:r w:rsidR="003A331C" w:rsidRPr="00253146">
        <w:rPr>
          <w:sz w:val="22"/>
          <w:szCs w:val="22"/>
        </w:rPr>
        <w:t>agricultural chemical products for use in Australia and the process used by both the APVMA and FSANZ for establishing and reviewing MRLs in Schedule 20 of the Code.</w:t>
      </w:r>
    </w:p>
    <w:p w14:paraId="5C7713C3" w14:textId="55438962" w:rsidR="00892B14" w:rsidRPr="00253146" w:rsidRDefault="003A331C" w:rsidP="00892B14">
      <w:pPr>
        <w:pStyle w:val="Default"/>
        <w:spacing w:after="240"/>
        <w:rPr>
          <w:sz w:val="22"/>
          <w:szCs w:val="22"/>
        </w:rPr>
      </w:pPr>
      <w:r w:rsidRPr="00253146">
        <w:rPr>
          <w:sz w:val="22"/>
          <w:szCs w:val="22"/>
        </w:rPr>
        <w:t xml:space="preserve">The National Estimated Daily Intake (NEDI) was calculated for </w:t>
      </w:r>
      <w:r w:rsidR="0096344C" w:rsidRPr="00253146">
        <w:rPr>
          <w:sz w:val="22"/>
          <w:szCs w:val="22"/>
        </w:rPr>
        <w:t>i</w:t>
      </w:r>
      <w:r w:rsidR="001A67A0" w:rsidRPr="00253146">
        <w:rPr>
          <w:sz w:val="22"/>
          <w:szCs w:val="22"/>
        </w:rPr>
        <w:t>mazapyr residues in barley</w:t>
      </w:r>
      <w:r w:rsidRPr="00253146">
        <w:rPr>
          <w:sz w:val="22"/>
          <w:szCs w:val="22"/>
        </w:rPr>
        <w:t xml:space="preserve"> to represent chronic dietary exposure. The NEDI estimate was then compared to the </w:t>
      </w:r>
      <w:r w:rsidR="002549AF" w:rsidRPr="00253146">
        <w:rPr>
          <w:sz w:val="22"/>
          <w:szCs w:val="22"/>
        </w:rPr>
        <w:t>ADI</w:t>
      </w:r>
      <w:r w:rsidRPr="00253146">
        <w:rPr>
          <w:sz w:val="22"/>
          <w:szCs w:val="22"/>
        </w:rPr>
        <w:t xml:space="preserve"> for </w:t>
      </w:r>
      <w:r w:rsidR="0096344C" w:rsidRPr="00253146">
        <w:rPr>
          <w:sz w:val="22"/>
          <w:szCs w:val="22"/>
        </w:rPr>
        <w:t>i</w:t>
      </w:r>
      <w:r w:rsidR="001A67A0" w:rsidRPr="00253146">
        <w:rPr>
          <w:sz w:val="22"/>
          <w:szCs w:val="22"/>
        </w:rPr>
        <w:t>mazapyr</w:t>
      </w:r>
      <w:r w:rsidRPr="00253146">
        <w:rPr>
          <w:sz w:val="22"/>
          <w:szCs w:val="22"/>
        </w:rPr>
        <w:t xml:space="preserve">. The National Estimated Short Term Intake (NESTI) was </w:t>
      </w:r>
      <w:r w:rsidR="001A67A0" w:rsidRPr="00253146">
        <w:rPr>
          <w:sz w:val="22"/>
          <w:szCs w:val="22"/>
        </w:rPr>
        <w:t>not</w:t>
      </w:r>
      <w:r w:rsidRPr="00253146">
        <w:rPr>
          <w:sz w:val="22"/>
          <w:szCs w:val="22"/>
        </w:rPr>
        <w:t xml:space="preserve"> calculated for an acute (short-term) dietary exposure for </w:t>
      </w:r>
      <w:r w:rsidR="0096344C" w:rsidRPr="00253146">
        <w:rPr>
          <w:sz w:val="22"/>
          <w:szCs w:val="22"/>
        </w:rPr>
        <w:t>i</w:t>
      </w:r>
      <w:r w:rsidR="001A67A0" w:rsidRPr="00253146">
        <w:rPr>
          <w:sz w:val="22"/>
          <w:szCs w:val="22"/>
        </w:rPr>
        <w:t>mazapyr</w:t>
      </w:r>
      <w:r w:rsidR="002549AF" w:rsidRPr="00253146">
        <w:rPr>
          <w:sz w:val="22"/>
          <w:szCs w:val="22"/>
        </w:rPr>
        <w:t xml:space="preserve"> because the a</w:t>
      </w:r>
      <w:r w:rsidR="002549AF" w:rsidRPr="00253146">
        <w:rPr>
          <w:sz w:val="22"/>
          <w:szCs w:val="22"/>
          <w:lang w:val="en"/>
        </w:rPr>
        <w:t>cute reference d</w:t>
      </w:r>
      <w:r w:rsidR="00892B14" w:rsidRPr="00253146">
        <w:rPr>
          <w:sz w:val="22"/>
          <w:szCs w:val="22"/>
          <w:lang w:val="en"/>
        </w:rPr>
        <w:t>ose (</w:t>
      </w:r>
      <w:r w:rsidR="0096344C" w:rsidRPr="00253146">
        <w:rPr>
          <w:sz w:val="22"/>
          <w:szCs w:val="22"/>
        </w:rPr>
        <w:t>ARfD) for i</w:t>
      </w:r>
      <w:r w:rsidR="00892B14" w:rsidRPr="00253146">
        <w:rPr>
          <w:sz w:val="22"/>
          <w:szCs w:val="22"/>
        </w:rPr>
        <w:t xml:space="preserve">mazapyr is considered unnecessary by </w:t>
      </w:r>
      <w:r w:rsidR="009E46AF" w:rsidRPr="00253146">
        <w:rPr>
          <w:sz w:val="22"/>
          <w:szCs w:val="22"/>
        </w:rPr>
        <w:t xml:space="preserve">the </w:t>
      </w:r>
      <w:r w:rsidR="00892B14" w:rsidRPr="00253146">
        <w:rPr>
          <w:sz w:val="22"/>
          <w:szCs w:val="22"/>
        </w:rPr>
        <w:t xml:space="preserve">APVMA and the JMPR due to its low oral toxicity and the absence of any developmental toxicity after a single dose. </w:t>
      </w:r>
    </w:p>
    <w:p w14:paraId="58136343" w14:textId="6707B210" w:rsidR="003A331C" w:rsidRPr="00253146" w:rsidRDefault="003A331C" w:rsidP="003A331C">
      <w:pPr>
        <w:pStyle w:val="Default"/>
        <w:rPr>
          <w:sz w:val="22"/>
          <w:szCs w:val="22"/>
        </w:rPr>
      </w:pPr>
      <w:r w:rsidRPr="00253146">
        <w:rPr>
          <w:sz w:val="22"/>
          <w:szCs w:val="22"/>
        </w:rPr>
        <w:t xml:space="preserve">The food consumption data used for the </w:t>
      </w:r>
      <w:r w:rsidR="009E46AF" w:rsidRPr="00253146">
        <w:rPr>
          <w:sz w:val="22"/>
          <w:szCs w:val="22"/>
        </w:rPr>
        <w:t>DEA</w:t>
      </w:r>
      <w:r w:rsidRPr="00253146">
        <w:rPr>
          <w:sz w:val="22"/>
          <w:szCs w:val="22"/>
        </w:rPr>
        <w:t xml:space="preserve"> were sourced from the 2011–12 National Nutrition and Physical Activity Survey (NNPAS), a component of the 2011–13 Australian Health Survey. The mean food consumption data for all survey respondents (n=7,735, aged 2 years and above) were used for the NEDI</w:t>
      </w:r>
      <w:r w:rsidR="0096344C" w:rsidRPr="00253146">
        <w:rPr>
          <w:sz w:val="22"/>
          <w:szCs w:val="22"/>
        </w:rPr>
        <w:t xml:space="preserve"> calculation</w:t>
      </w:r>
      <w:r w:rsidRPr="00253146">
        <w:rPr>
          <w:sz w:val="22"/>
          <w:szCs w:val="22"/>
        </w:rPr>
        <w:t>. This mean value represents the average intake of a food commodity for th</w:t>
      </w:r>
      <w:r w:rsidR="009E46AF" w:rsidRPr="00253146">
        <w:rPr>
          <w:sz w:val="22"/>
          <w:szCs w:val="22"/>
        </w:rPr>
        <w:t xml:space="preserve">e whole </w:t>
      </w:r>
      <w:r w:rsidR="0096344C" w:rsidRPr="00253146">
        <w:rPr>
          <w:sz w:val="22"/>
          <w:szCs w:val="22"/>
        </w:rPr>
        <w:t xml:space="preserve">Australian </w:t>
      </w:r>
      <w:r w:rsidR="009E46AF" w:rsidRPr="00253146">
        <w:rPr>
          <w:sz w:val="22"/>
          <w:szCs w:val="22"/>
        </w:rPr>
        <w:t xml:space="preserve">population which included </w:t>
      </w:r>
      <w:r w:rsidRPr="00253146">
        <w:rPr>
          <w:sz w:val="22"/>
          <w:szCs w:val="22"/>
        </w:rPr>
        <w:t xml:space="preserve">population sub-groups </w:t>
      </w:r>
      <w:r w:rsidR="009E46AF" w:rsidRPr="00253146">
        <w:rPr>
          <w:sz w:val="22"/>
          <w:szCs w:val="22"/>
        </w:rPr>
        <w:t>of</w:t>
      </w:r>
      <w:r w:rsidRPr="00253146">
        <w:rPr>
          <w:sz w:val="22"/>
          <w:szCs w:val="22"/>
        </w:rPr>
        <w:t xml:space="preserve"> children aged 2–6 years and women of childbearing age (16–44 years).</w:t>
      </w:r>
    </w:p>
    <w:p w14:paraId="2607EC64" w14:textId="058A7A6E" w:rsidR="003A331C" w:rsidRDefault="003A331C" w:rsidP="003A331C">
      <w:pPr>
        <w:pStyle w:val="Default"/>
        <w:rPr>
          <w:sz w:val="22"/>
          <w:szCs w:val="22"/>
        </w:rPr>
      </w:pPr>
    </w:p>
    <w:p w14:paraId="2A29C6AF" w14:textId="002424A0" w:rsidR="00092CDA" w:rsidRPr="006A2A7D" w:rsidRDefault="0096344C" w:rsidP="009E46AF">
      <w:pPr>
        <w:pStyle w:val="Default"/>
        <w:rPr>
          <w:sz w:val="22"/>
          <w:szCs w:val="22"/>
        </w:rPr>
        <w:sectPr w:rsidR="00092CDA" w:rsidRPr="006A2A7D" w:rsidSect="004D30AB">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r w:rsidRPr="006A2A7D">
        <w:rPr>
          <w:sz w:val="22"/>
          <w:szCs w:val="22"/>
        </w:rPr>
        <w:t>The dietary exposure estimate</w:t>
      </w:r>
      <w:r w:rsidR="003A331C" w:rsidRPr="006A2A7D">
        <w:rPr>
          <w:sz w:val="22"/>
          <w:szCs w:val="22"/>
        </w:rPr>
        <w:t xml:space="preserve"> for the </w:t>
      </w:r>
      <w:r w:rsidR="004A1F03" w:rsidRPr="006A2A7D">
        <w:rPr>
          <w:sz w:val="22"/>
          <w:szCs w:val="22"/>
        </w:rPr>
        <w:t xml:space="preserve">proposed </w:t>
      </w:r>
      <w:r w:rsidR="003A331C" w:rsidRPr="006A2A7D">
        <w:rPr>
          <w:sz w:val="22"/>
          <w:szCs w:val="22"/>
        </w:rPr>
        <w:t xml:space="preserve">increased </w:t>
      </w:r>
      <w:r w:rsidR="004F38DA" w:rsidRPr="006A2A7D">
        <w:rPr>
          <w:sz w:val="22"/>
          <w:szCs w:val="22"/>
        </w:rPr>
        <w:t>MRL</w:t>
      </w:r>
      <w:r w:rsidR="003A331C" w:rsidRPr="006A2A7D">
        <w:rPr>
          <w:sz w:val="22"/>
          <w:szCs w:val="22"/>
        </w:rPr>
        <w:t xml:space="preserve"> of </w:t>
      </w:r>
      <w:r w:rsidR="004A1F03" w:rsidRPr="006A2A7D">
        <w:rPr>
          <w:sz w:val="22"/>
          <w:szCs w:val="22"/>
        </w:rPr>
        <w:t>i</w:t>
      </w:r>
      <w:r w:rsidR="003A331C" w:rsidRPr="006A2A7D">
        <w:rPr>
          <w:sz w:val="22"/>
          <w:szCs w:val="22"/>
        </w:rPr>
        <w:t xml:space="preserve">mazapyr residues in barley </w:t>
      </w:r>
      <w:r w:rsidR="00955269" w:rsidRPr="006A2A7D">
        <w:rPr>
          <w:sz w:val="22"/>
          <w:szCs w:val="22"/>
        </w:rPr>
        <w:t>to 0.7 mg/kg</w:t>
      </w:r>
      <w:r w:rsidR="004F38DA" w:rsidRPr="006A2A7D">
        <w:rPr>
          <w:sz w:val="22"/>
          <w:szCs w:val="22"/>
        </w:rPr>
        <w:t xml:space="preserve"> </w:t>
      </w:r>
      <w:r w:rsidR="00253146">
        <w:rPr>
          <w:sz w:val="22"/>
          <w:szCs w:val="22"/>
        </w:rPr>
        <w:t>does not exceed</w:t>
      </w:r>
      <w:r w:rsidR="003A331C" w:rsidRPr="006A2A7D">
        <w:rPr>
          <w:sz w:val="22"/>
          <w:szCs w:val="22"/>
        </w:rPr>
        <w:t xml:space="preserve"> the </w:t>
      </w:r>
      <w:r w:rsidR="004F38DA" w:rsidRPr="006A2A7D">
        <w:rPr>
          <w:sz w:val="22"/>
          <w:szCs w:val="22"/>
        </w:rPr>
        <w:t>ADI</w:t>
      </w:r>
      <w:r w:rsidR="003A331C" w:rsidRPr="006A2A7D">
        <w:rPr>
          <w:sz w:val="22"/>
          <w:szCs w:val="22"/>
        </w:rPr>
        <w:t xml:space="preserve">, indicating negligible health and safety </w:t>
      </w:r>
      <w:r w:rsidR="00457A38" w:rsidRPr="006A2A7D">
        <w:rPr>
          <w:sz w:val="22"/>
          <w:szCs w:val="22"/>
        </w:rPr>
        <w:t>risks</w:t>
      </w:r>
      <w:r w:rsidR="003A331C" w:rsidRPr="006A2A7D">
        <w:rPr>
          <w:sz w:val="22"/>
          <w:szCs w:val="22"/>
        </w:rPr>
        <w:t xml:space="preserve"> to Australian consumers. The proposed</w:t>
      </w:r>
      <w:r w:rsidR="004A1F03" w:rsidRPr="006A2A7D">
        <w:rPr>
          <w:sz w:val="22"/>
          <w:szCs w:val="22"/>
        </w:rPr>
        <w:t xml:space="preserve"> MRL change</w:t>
      </w:r>
      <w:r w:rsidR="00457A38" w:rsidRPr="006A2A7D">
        <w:rPr>
          <w:sz w:val="22"/>
          <w:szCs w:val="22"/>
        </w:rPr>
        <w:t>, origin of request</w:t>
      </w:r>
      <w:r w:rsidR="003A331C" w:rsidRPr="006A2A7D">
        <w:rPr>
          <w:sz w:val="22"/>
          <w:szCs w:val="22"/>
        </w:rPr>
        <w:t xml:space="preserve">, commodity </w:t>
      </w:r>
      <w:r w:rsidR="00457A38" w:rsidRPr="006A2A7D">
        <w:rPr>
          <w:sz w:val="22"/>
          <w:szCs w:val="22"/>
        </w:rPr>
        <w:t>name, comparison with Codex MRL</w:t>
      </w:r>
      <w:r w:rsidR="003A331C" w:rsidRPr="006A2A7D">
        <w:rPr>
          <w:sz w:val="22"/>
          <w:szCs w:val="22"/>
        </w:rPr>
        <w:t xml:space="preserve"> and the dietary exposure estimate for the Australian population are given in Table 1 of this document.</w:t>
      </w:r>
    </w:p>
    <w:p w14:paraId="1FB80277" w14:textId="2C61307E" w:rsidR="002220F0" w:rsidRDefault="00562917" w:rsidP="002220F0">
      <w:pPr>
        <w:pStyle w:val="TOCHeading"/>
      </w:pPr>
      <w:r w:rsidRPr="00D9620E">
        <w:rPr>
          <w:b w:val="0"/>
          <w:sz w:val="32"/>
        </w:rPr>
        <w:lastRenderedPageBreak/>
        <w:t xml:space="preserve">Table of </w:t>
      </w:r>
      <w:r w:rsidR="00A77BFA" w:rsidRPr="00D9620E">
        <w:rPr>
          <w:b w:val="0"/>
          <w:sz w:val="32"/>
        </w:rPr>
        <w:t>c</w:t>
      </w:r>
      <w:r w:rsidRPr="00D9620E">
        <w:rPr>
          <w:b w:val="0"/>
          <w:sz w:val="32"/>
        </w:rPr>
        <w:t>ontents</w:t>
      </w:r>
    </w:p>
    <w:p w14:paraId="3E48B592" w14:textId="5986213E" w:rsidR="00562917" w:rsidRDefault="00562917" w:rsidP="00051ED9"/>
    <w:sdt>
      <w:sdtPr>
        <w:rPr>
          <w:rFonts w:ascii="Arial" w:hAnsi="Arial"/>
          <w:b w:val="0"/>
          <w:bCs w:val="0"/>
          <w:caps w:val="0"/>
          <w:sz w:val="22"/>
          <w:szCs w:val="24"/>
        </w:rPr>
        <w:id w:val="-1209332236"/>
        <w:docPartObj>
          <w:docPartGallery w:val="Table of Contents"/>
          <w:docPartUnique/>
        </w:docPartObj>
      </w:sdtPr>
      <w:sdtEndPr>
        <w:rPr>
          <w:rFonts w:cs="Arial"/>
          <w:noProof/>
          <w:sz w:val="20"/>
          <w:szCs w:val="20"/>
        </w:rPr>
      </w:sdtEndPr>
      <w:sdtContent>
        <w:p w14:paraId="602134CD" w14:textId="4C2B57D5" w:rsidR="003A5828" w:rsidRDefault="002220F0">
          <w:pPr>
            <w:pStyle w:val="TOC1"/>
            <w:tabs>
              <w:tab w:val="right" w:leader="dot" w:pos="9060"/>
            </w:tabs>
            <w:rPr>
              <w:rFonts w:eastAsiaTheme="minorEastAsia" w:cstheme="minorBidi"/>
              <w:b w:val="0"/>
              <w:bCs w:val="0"/>
              <w:caps w:val="0"/>
              <w:noProof/>
              <w:sz w:val="22"/>
              <w:szCs w:val="22"/>
              <w:lang w:eastAsia="en-GB" w:bidi="ar-SA"/>
            </w:rPr>
          </w:pPr>
          <w:r w:rsidRPr="00885134">
            <w:rPr>
              <w:rFonts w:ascii="Arial" w:hAnsi="Arial" w:cs="Arial"/>
            </w:rPr>
            <w:fldChar w:fldCharType="begin"/>
          </w:r>
          <w:r w:rsidRPr="00885134">
            <w:rPr>
              <w:rFonts w:ascii="Arial" w:hAnsi="Arial" w:cs="Arial"/>
            </w:rPr>
            <w:instrText xml:space="preserve"> TOC \o "1-3" \h \z \u </w:instrText>
          </w:r>
          <w:r w:rsidRPr="00885134">
            <w:rPr>
              <w:rFonts w:ascii="Arial" w:hAnsi="Arial" w:cs="Arial"/>
            </w:rPr>
            <w:fldChar w:fldCharType="separate"/>
          </w:r>
          <w:hyperlink w:anchor="_Toc19629404" w:history="1">
            <w:r w:rsidR="003A5828" w:rsidRPr="00F149AF">
              <w:rPr>
                <w:rStyle w:val="Hyperlink"/>
                <w:noProof/>
              </w:rPr>
              <w:t>Executive summary</w:t>
            </w:r>
            <w:r w:rsidR="003A5828">
              <w:rPr>
                <w:noProof/>
                <w:webHidden/>
              </w:rPr>
              <w:tab/>
            </w:r>
            <w:r w:rsidR="003A5828" w:rsidRPr="003A5828">
              <w:rPr>
                <w:b w:val="0"/>
                <w:noProof/>
                <w:webHidden/>
              </w:rPr>
              <w:fldChar w:fldCharType="begin"/>
            </w:r>
            <w:r w:rsidR="003A5828" w:rsidRPr="003A5828">
              <w:rPr>
                <w:b w:val="0"/>
                <w:noProof/>
                <w:webHidden/>
              </w:rPr>
              <w:instrText xml:space="preserve"> PAGEREF _Toc19629404 \h </w:instrText>
            </w:r>
            <w:r w:rsidR="003A5828" w:rsidRPr="003A5828">
              <w:rPr>
                <w:b w:val="0"/>
                <w:noProof/>
                <w:webHidden/>
              </w:rPr>
            </w:r>
            <w:r w:rsidR="003A5828" w:rsidRPr="003A5828">
              <w:rPr>
                <w:b w:val="0"/>
                <w:noProof/>
                <w:webHidden/>
              </w:rPr>
              <w:fldChar w:fldCharType="separate"/>
            </w:r>
            <w:r w:rsidR="003A5828" w:rsidRPr="003A5828">
              <w:rPr>
                <w:b w:val="0"/>
                <w:noProof/>
                <w:webHidden/>
              </w:rPr>
              <w:t>i</w:t>
            </w:r>
            <w:r w:rsidR="003A5828" w:rsidRPr="003A5828">
              <w:rPr>
                <w:b w:val="0"/>
                <w:noProof/>
                <w:webHidden/>
              </w:rPr>
              <w:fldChar w:fldCharType="end"/>
            </w:r>
          </w:hyperlink>
        </w:p>
        <w:p w14:paraId="74F393FB" w14:textId="37836B49" w:rsidR="003A5828" w:rsidRDefault="00533EF1">
          <w:pPr>
            <w:pStyle w:val="TOC1"/>
            <w:tabs>
              <w:tab w:val="left" w:pos="440"/>
              <w:tab w:val="right" w:leader="dot" w:pos="9060"/>
            </w:tabs>
            <w:rPr>
              <w:rFonts w:eastAsiaTheme="minorEastAsia" w:cstheme="minorBidi"/>
              <w:b w:val="0"/>
              <w:bCs w:val="0"/>
              <w:caps w:val="0"/>
              <w:noProof/>
              <w:sz w:val="22"/>
              <w:szCs w:val="22"/>
              <w:lang w:eastAsia="en-GB" w:bidi="ar-SA"/>
            </w:rPr>
          </w:pPr>
          <w:hyperlink w:anchor="_Toc19629405" w:history="1">
            <w:r w:rsidR="003A5828" w:rsidRPr="00F149AF">
              <w:rPr>
                <w:rStyle w:val="Hyperlink"/>
                <w:noProof/>
              </w:rPr>
              <w:t>1.</w:t>
            </w:r>
            <w:r w:rsidR="003A5828">
              <w:rPr>
                <w:rFonts w:eastAsiaTheme="minorEastAsia" w:cstheme="minorBidi"/>
                <w:b w:val="0"/>
                <w:bCs w:val="0"/>
                <w:caps w:val="0"/>
                <w:noProof/>
                <w:sz w:val="22"/>
                <w:szCs w:val="22"/>
                <w:lang w:eastAsia="en-GB" w:bidi="ar-SA"/>
              </w:rPr>
              <w:tab/>
            </w:r>
            <w:r w:rsidR="003A5828" w:rsidRPr="00F149AF">
              <w:rPr>
                <w:rStyle w:val="Hyperlink"/>
                <w:noProof/>
              </w:rPr>
              <w:t>Introduction</w:t>
            </w:r>
            <w:r w:rsidR="003A5828">
              <w:rPr>
                <w:noProof/>
                <w:webHidden/>
              </w:rPr>
              <w:tab/>
            </w:r>
            <w:r w:rsidR="003A5828">
              <w:rPr>
                <w:noProof/>
                <w:webHidden/>
              </w:rPr>
              <w:fldChar w:fldCharType="begin"/>
            </w:r>
            <w:r w:rsidR="003A5828">
              <w:rPr>
                <w:noProof/>
                <w:webHidden/>
              </w:rPr>
              <w:instrText xml:space="preserve"> PAGEREF _Toc19629405 \h </w:instrText>
            </w:r>
            <w:r w:rsidR="003A5828">
              <w:rPr>
                <w:noProof/>
                <w:webHidden/>
              </w:rPr>
            </w:r>
            <w:r w:rsidR="003A5828">
              <w:rPr>
                <w:noProof/>
                <w:webHidden/>
              </w:rPr>
              <w:fldChar w:fldCharType="separate"/>
            </w:r>
            <w:r w:rsidR="003A5828">
              <w:rPr>
                <w:noProof/>
                <w:webHidden/>
              </w:rPr>
              <w:t>3</w:t>
            </w:r>
            <w:r w:rsidR="003A5828">
              <w:rPr>
                <w:noProof/>
                <w:webHidden/>
              </w:rPr>
              <w:fldChar w:fldCharType="end"/>
            </w:r>
          </w:hyperlink>
        </w:p>
        <w:p w14:paraId="3F80F986" w14:textId="7E39FC89" w:rsidR="003A5828" w:rsidRDefault="00533EF1">
          <w:pPr>
            <w:pStyle w:val="TOC1"/>
            <w:tabs>
              <w:tab w:val="right" w:leader="dot" w:pos="9060"/>
            </w:tabs>
            <w:rPr>
              <w:rFonts w:eastAsiaTheme="minorEastAsia" w:cstheme="minorBidi"/>
              <w:b w:val="0"/>
              <w:bCs w:val="0"/>
              <w:caps w:val="0"/>
              <w:noProof/>
              <w:sz w:val="22"/>
              <w:szCs w:val="22"/>
              <w:lang w:eastAsia="en-GB" w:bidi="ar-SA"/>
            </w:rPr>
          </w:pPr>
          <w:hyperlink w:anchor="_Toc19629406" w:history="1">
            <w:r w:rsidR="003A5828" w:rsidRPr="00F149AF">
              <w:rPr>
                <w:rStyle w:val="Hyperlink"/>
                <w:noProof/>
              </w:rPr>
              <w:t>2   Dietary Exposure Assessment</w:t>
            </w:r>
            <w:r w:rsidR="003A5828">
              <w:rPr>
                <w:noProof/>
                <w:webHidden/>
              </w:rPr>
              <w:tab/>
            </w:r>
            <w:r w:rsidR="003A5828">
              <w:rPr>
                <w:noProof/>
                <w:webHidden/>
              </w:rPr>
              <w:fldChar w:fldCharType="begin"/>
            </w:r>
            <w:r w:rsidR="003A5828">
              <w:rPr>
                <w:noProof/>
                <w:webHidden/>
              </w:rPr>
              <w:instrText xml:space="preserve"> PAGEREF _Toc19629406 \h </w:instrText>
            </w:r>
            <w:r w:rsidR="003A5828">
              <w:rPr>
                <w:noProof/>
                <w:webHidden/>
              </w:rPr>
            </w:r>
            <w:r w:rsidR="003A5828">
              <w:rPr>
                <w:noProof/>
                <w:webHidden/>
              </w:rPr>
              <w:fldChar w:fldCharType="separate"/>
            </w:r>
            <w:r w:rsidR="003A5828">
              <w:rPr>
                <w:noProof/>
                <w:webHidden/>
              </w:rPr>
              <w:t>3</w:t>
            </w:r>
            <w:r w:rsidR="003A5828">
              <w:rPr>
                <w:noProof/>
                <w:webHidden/>
              </w:rPr>
              <w:fldChar w:fldCharType="end"/>
            </w:r>
          </w:hyperlink>
        </w:p>
        <w:p w14:paraId="51F14E8A" w14:textId="1E2BCA6F" w:rsidR="003A5828" w:rsidRDefault="00533EF1">
          <w:pPr>
            <w:pStyle w:val="TOC2"/>
            <w:tabs>
              <w:tab w:val="left" w:pos="880"/>
              <w:tab w:val="right" w:leader="dot" w:pos="9060"/>
            </w:tabs>
            <w:rPr>
              <w:rFonts w:eastAsiaTheme="minorEastAsia" w:cstheme="minorBidi"/>
              <w:smallCaps w:val="0"/>
              <w:noProof/>
              <w:sz w:val="22"/>
              <w:szCs w:val="22"/>
              <w:lang w:eastAsia="en-GB" w:bidi="ar-SA"/>
            </w:rPr>
          </w:pPr>
          <w:hyperlink w:anchor="_Toc19629407" w:history="1">
            <w:r w:rsidR="003A5828" w:rsidRPr="00F149AF">
              <w:rPr>
                <w:rStyle w:val="Hyperlink"/>
                <w:noProof/>
              </w:rPr>
              <w:t>2.1</w:t>
            </w:r>
            <w:r w:rsidR="003A5828">
              <w:rPr>
                <w:rFonts w:eastAsiaTheme="minorEastAsia" w:cstheme="minorBidi"/>
                <w:smallCaps w:val="0"/>
                <w:noProof/>
                <w:sz w:val="22"/>
                <w:szCs w:val="22"/>
                <w:lang w:eastAsia="en-GB" w:bidi="ar-SA"/>
              </w:rPr>
              <w:tab/>
            </w:r>
            <w:r w:rsidR="003A5828" w:rsidRPr="00F149AF">
              <w:rPr>
                <w:rStyle w:val="Hyperlink"/>
                <w:noProof/>
              </w:rPr>
              <w:t>Background</w:t>
            </w:r>
            <w:r w:rsidR="003A5828">
              <w:rPr>
                <w:noProof/>
                <w:webHidden/>
              </w:rPr>
              <w:tab/>
            </w:r>
            <w:r w:rsidR="003A5828">
              <w:rPr>
                <w:noProof/>
                <w:webHidden/>
              </w:rPr>
              <w:fldChar w:fldCharType="begin"/>
            </w:r>
            <w:r w:rsidR="003A5828">
              <w:rPr>
                <w:noProof/>
                <w:webHidden/>
              </w:rPr>
              <w:instrText xml:space="preserve"> PAGEREF _Toc19629407 \h </w:instrText>
            </w:r>
            <w:r w:rsidR="003A5828">
              <w:rPr>
                <w:noProof/>
                <w:webHidden/>
              </w:rPr>
            </w:r>
            <w:r w:rsidR="003A5828">
              <w:rPr>
                <w:noProof/>
                <w:webHidden/>
              </w:rPr>
              <w:fldChar w:fldCharType="separate"/>
            </w:r>
            <w:r w:rsidR="003A5828">
              <w:rPr>
                <w:noProof/>
                <w:webHidden/>
              </w:rPr>
              <w:t>3</w:t>
            </w:r>
            <w:r w:rsidR="003A5828">
              <w:rPr>
                <w:noProof/>
                <w:webHidden/>
              </w:rPr>
              <w:fldChar w:fldCharType="end"/>
            </w:r>
          </w:hyperlink>
        </w:p>
        <w:p w14:paraId="315EDB33" w14:textId="438EC81B" w:rsidR="003A5828" w:rsidRDefault="00533EF1">
          <w:pPr>
            <w:pStyle w:val="TOC3"/>
            <w:tabs>
              <w:tab w:val="left" w:pos="1100"/>
              <w:tab w:val="right" w:leader="dot" w:pos="9060"/>
            </w:tabs>
            <w:rPr>
              <w:rFonts w:eastAsiaTheme="minorEastAsia" w:cstheme="minorBidi"/>
              <w:i w:val="0"/>
              <w:iCs w:val="0"/>
              <w:noProof/>
              <w:sz w:val="22"/>
              <w:szCs w:val="22"/>
              <w:lang w:eastAsia="en-GB" w:bidi="ar-SA"/>
            </w:rPr>
          </w:pPr>
          <w:hyperlink w:anchor="_Toc19629408" w:history="1">
            <w:r w:rsidR="003A5828" w:rsidRPr="00F149AF">
              <w:rPr>
                <w:rStyle w:val="Hyperlink"/>
                <w:noProof/>
              </w:rPr>
              <w:t>2.1.1</w:t>
            </w:r>
            <w:r w:rsidR="003A5828">
              <w:rPr>
                <w:rFonts w:eastAsiaTheme="minorEastAsia" w:cstheme="minorBidi"/>
                <w:i w:val="0"/>
                <w:iCs w:val="0"/>
                <w:noProof/>
                <w:sz w:val="22"/>
                <w:szCs w:val="22"/>
                <w:lang w:eastAsia="en-GB" w:bidi="ar-SA"/>
              </w:rPr>
              <w:tab/>
            </w:r>
            <w:r w:rsidR="003A5828" w:rsidRPr="00F149AF">
              <w:rPr>
                <w:rStyle w:val="Hyperlink"/>
                <w:noProof/>
              </w:rPr>
              <w:t>Australian National Nutrition and Physical Activity Survey (NNPAS)</w:t>
            </w:r>
            <w:r w:rsidR="003A5828">
              <w:rPr>
                <w:noProof/>
                <w:webHidden/>
              </w:rPr>
              <w:tab/>
            </w:r>
            <w:r w:rsidR="003A5828">
              <w:rPr>
                <w:noProof/>
                <w:webHidden/>
              </w:rPr>
              <w:fldChar w:fldCharType="begin"/>
            </w:r>
            <w:r w:rsidR="003A5828">
              <w:rPr>
                <w:noProof/>
                <w:webHidden/>
              </w:rPr>
              <w:instrText xml:space="preserve"> PAGEREF _Toc19629408 \h </w:instrText>
            </w:r>
            <w:r w:rsidR="003A5828">
              <w:rPr>
                <w:noProof/>
                <w:webHidden/>
              </w:rPr>
            </w:r>
            <w:r w:rsidR="003A5828">
              <w:rPr>
                <w:noProof/>
                <w:webHidden/>
              </w:rPr>
              <w:fldChar w:fldCharType="separate"/>
            </w:r>
            <w:r w:rsidR="003A5828">
              <w:rPr>
                <w:noProof/>
                <w:webHidden/>
              </w:rPr>
              <w:t>4</w:t>
            </w:r>
            <w:r w:rsidR="003A5828">
              <w:rPr>
                <w:noProof/>
                <w:webHidden/>
              </w:rPr>
              <w:fldChar w:fldCharType="end"/>
            </w:r>
          </w:hyperlink>
        </w:p>
        <w:p w14:paraId="1F0C0FEB" w14:textId="0AE67FE9" w:rsidR="003A5828" w:rsidRDefault="00533EF1">
          <w:pPr>
            <w:pStyle w:val="TOC2"/>
            <w:tabs>
              <w:tab w:val="left" w:pos="880"/>
              <w:tab w:val="right" w:leader="dot" w:pos="9060"/>
            </w:tabs>
            <w:rPr>
              <w:rFonts w:eastAsiaTheme="minorEastAsia" w:cstheme="minorBidi"/>
              <w:smallCaps w:val="0"/>
              <w:noProof/>
              <w:sz w:val="22"/>
              <w:szCs w:val="22"/>
              <w:lang w:eastAsia="en-GB" w:bidi="ar-SA"/>
            </w:rPr>
          </w:pPr>
          <w:hyperlink w:anchor="_Toc19629409" w:history="1">
            <w:r w:rsidR="003A5828" w:rsidRPr="00F149AF">
              <w:rPr>
                <w:rStyle w:val="Hyperlink"/>
                <w:noProof/>
              </w:rPr>
              <w:t>2.2</w:t>
            </w:r>
            <w:r w:rsidR="003A5828">
              <w:rPr>
                <w:rFonts w:eastAsiaTheme="minorEastAsia" w:cstheme="minorBidi"/>
                <w:smallCaps w:val="0"/>
                <w:noProof/>
                <w:sz w:val="22"/>
                <w:szCs w:val="22"/>
                <w:lang w:eastAsia="en-GB" w:bidi="ar-SA"/>
              </w:rPr>
              <w:tab/>
            </w:r>
            <w:r w:rsidR="003A5828" w:rsidRPr="00F149AF">
              <w:rPr>
                <w:rStyle w:val="Hyperlink"/>
                <w:noProof/>
              </w:rPr>
              <w:t>Dietary Exposure estimates</w:t>
            </w:r>
            <w:r w:rsidR="003A5828">
              <w:rPr>
                <w:noProof/>
                <w:webHidden/>
              </w:rPr>
              <w:tab/>
            </w:r>
            <w:r w:rsidR="003A5828">
              <w:rPr>
                <w:noProof/>
                <w:webHidden/>
              </w:rPr>
              <w:fldChar w:fldCharType="begin"/>
            </w:r>
            <w:r w:rsidR="003A5828">
              <w:rPr>
                <w:noProof/>
                <w:webHidden/>
              </w:rPr>
              <w:instrText xml:space="preserve"> PAGEREF _Toc19629409 \h </w:instrText>
            </w:r>
            <w:r w:rsidR="003A5828">
              <w:rPr>
                <w:noProof/>
                <w:webHidden/>
              </w:rPr>
            </w:r>
            <w:r w:rsidR="003A5828">
              <w:rPr>
                <w:noProof/>
                <w:webHidden/>
              </w:rPr>
              <w:fldChar w:fldCharType="separate"/>
            </w:r>
            <w:r w:rsidR="003A5828">
              <w:rPr>
                <w:noProof/>
                <w:webHidden/>
              </w:rPr>
              <w:t>4</w:t>
            </w:r>
            <w:r w:rsidR="003A5828">
              <w:rPr>
                <w:noProof/>
                <w:webHidden/>
              </w:rPr>
              <w:fldChar w:fldCharType="end"/>
            </w:r>
          </w:hyperlink>
        </w:p>
        <w:p w14:paraId="2CCB5C6D" w14:textId="74E9C6AA" w:rsidR="003A5828" w:rsidRDefault="00533EF1">
          <w:pPr>
            <w:pStyle w:val="TOC1"/>
            <w:tabs>
              <w:tab w:val="left" w:pos="440"/>
              <w:tab w:val="right" w:leader="dot" w:pos="9060"/>
            </w:tabs>
            <w:rPr>
              <w:rFonts w:eastAsiaTheme="minorEastAsia" w:cstheme="minorBidi"/>
              <w:b w:val="0"/>
              <w:bCs w:val="0"/>
              <w:caps w:val="0"/>
              <w:noProof/>
              <w:sz w:val="22"/>
              <w:szCs w:val="22"/>
              <w:lang w:eastAsia="en-GB" w:bidi="ar-SA"/>
            </w:rPr>
          </w:pPr>
          <w:hyperlink w:anchor="_Toc19629410" w:history="1">
            <w:r w:rsidR="003A5828" w:rsidRPr="00F149AF">
              <w:rPr>
                <w:rStyle w:val="Hyperlink"/>
                <w:noProof/>
              </w:rPr>
              <w:t>3</w:t>
            </w:r>
            <w:r w:rsidR="003A5828">
              <w:rPr>
                <w:rFonts w:eastAsiaTheme="minorEastAsia" w:cstheme="minorBidi"/>
                <w:b w:val="0"/>
                <w:bCs w:val="0"/>
                <w:caps w:val="0"/>
                <w:noProof/>
                <w:sz w:val="22"/>
                <w:szCs w:val="22"/>
                <w:lang w:eastAsia="en-GB" w:bidi="ar-SA"/>
              </w:rPr>
              <w:tab/>
            </w:r>
            <w:r w:rsidR="003A5828" w:rsidRPr="00F149AF">
              <w:rPr>
                <w:rStyle w:val="Hyperlink"/>
                <w:noProof/>
              </w:rPr>
              <w:t xml:space="preserve"> Results of the assessment</w:t>
            </w:r>
            <w:r w:rsidR="003A5828">
              <w:rPr>
                <w:noProof/>
                <w:webHidden/>
              </w:rPr>
              <w:tab/>
            </w:r>
            <w:r w:rsidR="003A5828">
              <w:rPr>
                <w:noProof/>
                <w:webHidden/>
              </w:rPr>
              <w:fldChar w:fldCharType="begin"/>
            </w:r>
            <w:r w:rsidR="003A5828">
              <w:rPr>
                <w:noProof/>
                <w:webHidden/>
              </w:rPr>
              <w:instrText xml:space="preserve"> PAGEREF _Toc19629410 \h </w:instrText>
            </w:r>
            <w:r w:rsidR="003A5828">
              <w:rPr>
                <w:noProof/>
                <w:webHidden/>
              </w:rPr>
            </w:r>
            <w:r w:rsidR="003A5828">
              <w:rPr>
                <w:noProof/>
                <w:webHidden/>
              </w:rPr>
              <w:fldChar w:fldCharType="separate"/>
            </w:r>
            <w:r w:rsidR="003A5828">
              <w:rPr>
                <w:noProof/>
                <w:webHidden/>
              </w:rPr>
              <w:t>5</w:t>
            </w:r>
            <w:r w:rsidR="003A5828">
              <w:rPr>
                <w:noProof/>
                <w:webHidden/>
              </w:rPr>
              <w:fldChar w:fldCharType="end"/>
            </w:r>
          </w:hyperlink>
        </w:p>
        <w:p w14:paraId="10A581F7" w14:textId="5C047331" w:rsidR="003A5828" w:rsidRDefault="00533EF1">
          <w:pPr>
            <w:pStyle w:val="TOC1"/>
            <w:tabs>
              <w:tab w:val="left" w:pos="440"/>
              <w:tab w:val="right" w:leader="dot" w:pos="9060"/>
            </w:tabs>
            <w:rPr>
              <w:rFonts w:eastAsiaTheme="minorEastAsia" w:cstheme="minorBidi"/>
              <w:b w:val="0"/>
              <w:bCs w:val="0"/>
              <w:caps w:val="0"/>
              <w:noProof/>
              <w:sz w:val="22"/>
              <w:szCs w:val="22"/>
              <w:lang w:eastAsia="en-GB" w:bidi="ar-SA"/>
            </w:rPr>
          </w:pPr>
          <w:hyperlink w:anchor="_Toc19629411" w:history="1">
            <w:r w:rsidR="003A5828" w:rsidRPr="00F149AF">
              <w:rPr>
                <w:rStyle w:val="Hyperlink"/>
                <w:noProof/>
              </w:rPr>
              <w:t xml:space="preserve">4 </w:t>
            </w:r>
            <w:r w:rsidR="003A5828">
              <w:rPr>
                <w:rFonts w:eastAsiaTheme="minorEastAsia" w:cstheme="minorBidi"/>
                <w:b w:val="0"/>
                <w:bCs w:val="0"/>
                <w:caps w:val="0"/>
                <w:noProof/>
                <w:sz w:val="22"/>
                <w:szCs w:val="22"/>
                <w:lang w:eastAsia="en-GB" w:bidi="ar-SA"/>
              </w:rPr>
              <w:tab/>
            </w:r>
            <w:r w:rsidR="003A5828" w:rsidRPr="00F149AF">
              <w:rPr>
                <w:rStyle w:val="Hyperlink"/>
                <w:noProof/>
              </w:rPr>
              <w:t xml:space="preserve"> Conclusion</w:t>
            </w:r>
            <w:r w:rsidR="003A5828">
              <w:rPr>
                <w:noProof/>
                <w:webHidden/>
              </w:rPr>
              <w:tab/>
            </w:r>
            <w:r w:rsidR="003A5828">
              <w:rPr>
                <w:noProof/>
                <w:webHidden/>
              </w:rPr>
              <w:fldChar w:fldCharType="begin"/>
            </w:r>
            <w:r w:rsidR="003A5828">
              <w:rPr>
                <w:noProof/>
                <w:webHidden/>
              </w:rPr>
              <w:instrText xml:space="preserve"> PAGEREF _Toc19629411 \h </w:instrText>
            </w:r>
            <w:r w:rsidR="003A5828">
              <w:rPr>
                <w:noProof/>
                <w:webHidden/>
              </w:rPr>
            </w:r>
            <w:r w:rsidR="003A5828">
              <w:rPr>
                <w:noProof/>
                <w:webHidden/>
              </w:rPr>
              <w:fldChar w:fldCharType="separate"/>
            </w:r>
            <w:r w:rsidR="003A5828">
              <w:rPr>
                <w:noProof/>
                <w:webHidden/>
              </w:rPr>
              <w:t>5</w:t>
            </w:r>
            <w:r w:rsidR="003A5828">
              <w:rPr>
                <w:noProof/>
                <w:webHidden/>
              </w:rPr>
              <w:fldChar w:fldCharType="end"/>
            </w:r>
          </w:hyperlink>
        </w:p>
        <w:p w14:paraId="7ABC257A" w14:textId="2A88F52B" w:rsidR="00F576DE" w:rsidRDefault="002220F0" w:rsidP="004F035B">
          <w:pPr>
            <w:rPr>
              <w:rFonts w:cs="Arial"/>
              <w:bCs/>
              <w:noProof/>
              <w:sz w:val="20"/>
              <w:szCs w:val="20"/>
            </w:rPr>
          </w:pPr>
          <w:r w:rsidRPr="00885134">
            <w:rPr>
              <w:rFonts w:cs="Arial"/>
              <w:b/>
              <w:bCs/>
              <w:noProof/>
              <w:sz w:val="20"/>
              <w:szCs w:val="20"/>
            </w:rPr>
            <w:fldChar w:fldCharType="end"/>
          </w:r>
        </w:p>
        <w:p w14:paraId="2DE070B6" w14:textId="77777777" w:rsidR="00F576DE" w:rsidRDefault="00F576DE" w:rsidP="002220F0">
          <w:pPr>
            <w:rPr>
              <w:rFonts w:cs="Arial"/>
              <w:bCs/>
              <w:noProof/>
              <w:sz w:val="20"/>
              <w:szCs w:val="20"/>
            </w:rPr>
          </w:pPr>
        </w:p>
        <w:p w14:paraId="0F740114" w14:textId="0F89E616" w:rsidR="002220F0" w:rsidRPr="00885134" w:rsidRDefault="00533EF1" w:rsidP="002220F0">
          <w:pPr>
            <w:rPr>
              <w:rFonts w:cs="Arial"/>
              <w:noProof/>
              <w:sz w:val="20"/>
              <w:szCs w:val="20"/>
            </w:rPr>
          </w:pPr>
        </w:p>
      </w:sdtContent>
    </w:sdt>
    <w:p w14:paraId="02896092" w14:textId="77777777" w:rsidR="0075271B" w:rsidRPr="00885134" w:rsidRDefault="0075271B" w:rsidP="00051ED9">
      <w:pPr>
        <w:rPr>
          <w:rFonts w:cs="Arial"/>
          <w:sz w:val="20"/>
          <w:szCs w:val="20"/>
        </w:rPr>
      </w:pPr>
    </w:p>
    <w:p w14:paraId="066A7597" w14:textId="77777777" w:rsidR="00E066BA" w:rsidRDefault="00E066BA" w:rsidP="00051ED9"/>
    <w:p w14:paraId="21464EC8" w14:textId="77777777" w:rsidR="00F576DE" w:rsidRDefault="00F576DE">
      <w:pPr>
        <w:widowControl/>
      </w:pPr>
      <w:r>
        <w:br w:type="page"/>
      </w:r>
    </w:p>
    <w:p w14:paraId="34205540" w14:textId="77777777" w:rsidR="00F576DE" w:rsidRDefault="00F576DE" w:rsidP="00772BDC"/>
    <w:p w14:paraId="69FFCF2D" w14:textId="77777777" w:rsidR="00F576DE" w:rsidRDefault="00F576DE" w:rsidP="00772BDC"/>
    <w:p w14:paraId="794DC658" w14:textId="095AC602" w:rsidR="00F576DE" w:rsidRPr="001D3CB6" w:rsidRDefault="002C011A" w:rsidP="002C011A">
      <w:pPr>
        <w:pStyle w:val="FSCh1Chap"/>
        <w:ind w:left="0" w:firstLine="0"/>
        <w:rPr>
          <w:sz w:val="36"/>
          <w:szCs w:val="36"/>
        </w:rPr>
      </w:pPr>
      <w:r>
        <w:t>1</w:t>
      </w:r>
      <w:r>
        <w:tab/>
      </w:r>
      <w:r w:rsidR="00F576DE">
        <w:t xml:space="preserve"> </w:t>
      </w:r>
      <w:r w:rsidR="00F576DE">
        <w:tab/>
      </w:r>
      <w:bookmarkStart w:id="5" w:name="_Toc19629405"/>
      <w:r w:rsidR="00F576DE" w:rsidRPr="001D3CB6">
        <w:rPr>
          <w:sz w:val="36"/>
          <w:szCs w:val="36"/>
        </w:rPr>
        <w:t>Introduction</w:t>
      </w:r>
      <w:bookmarkEnd w:id="5"/>
    </w:p>
    <w:p w14:paraId="3BE1C467" w14:textId="361A8353" w:rsidR="00F576DE" w:rsidRPr="00195457" w:rsidRDefault="00F576DE" w:rsidP="002C011A">
      <w:pPr>
        <w:tabs>
          <w:tab w:val="left" w:pos="142"/>
        </w:tabs>
      </w:pPr>
      <w:r w:rsidRPr="00195457">
        <w:t xml:space="preserve">This </w:t>
      </w:r>
      <w:r w:rsidR="00A55FCA">
        <w:t>s</w:t>
      </w:r>
      <w:r w:rsidRPr="00195457">
        <w:t xml:space="preserve">upporting </w:t>
      </w:r>
      <w:r w:rsidR="00A55FCA">
        <w:t>d</w:t>
      </w:r>
      <w:r w:rsidRPr="00195457">
        <w:t xml:space="preserve">ocument provides information </w:t>
      </w:r>
      <w:r w:rsidR="00731C03">
        <w:t xml:space="preserve">about the result of </w:t>
      </w:r>
      <w:r w:rsidR="008D743C">
        <w:t xml:space="preserve">risk assessment and </w:t>
      </w:r>
      <w:r w:rsidRPr="00195457">
        <w:t xml:space="preserve">dietary exposure </w:t>
      </w:r>
      <w:r w:rsidR="008D743C">
        <w:t>estimates</w:t>
      </w:r>
      <w:r w:rsidRPr="00195457">
        <w:t xml:space="preserve"> undertaken for </w:t>
      </w:r>
      <w:r w:rsidR="009E7F7C">
        <w:t xml:space="preserve">paid </w:t>
      </w:r>
      <w:r w:rsidR="00023DDC" w:rsidRPr="00195457">
        <w:t>A</w:t>
      </w:r>
      <w:r w:rsidRPr="00195457">
        <w:t xml:space="preserve">pplication A1181 – Imazapyr in barley </w:t>
      </w:r>
      <w:r w:rsidR="00023DDC" w:rsidRPr="00195457">
        <w:t>submitted by BASF Australia Ltd.</w:t>
      </w:r>
    </w:p>
    <w:p w14:paraId="5F387D1B" w14:textId="4549DF46" w:rsidR="00F576DE" w:rsidRPr="00195457" w:rsidRDefault="00F576DE" w:rsidP="002C011A">
      <w:pPr>
        <w:tabs>
          <w:tab w:val="left" w:pos="142"/>
        </w:tabs>
        <w:rPr>
          <w:rFonts w:cs="Arial"/>
        </w:rPr>
      </w:pPr>
    </w:p>
    <w:p w14:paraId="49E3513C" w14:textId="61552BFA" w:rsidR="00437649" w:rsidRPr="00195457" w:rsidRDefault="00F576DE" w:rsidP="002C011A">
      <w:pPr>
        <w:tabs>
          <w:tab w:val="left" w:pos="142"/>
        </w:tabs>
      </w:pPr>
      <w:r w:rsidRPr="00195457">
        <w:rPr>
          <w:rFonts w:cs="Arial"/>
        </w:rPr>
        <w:t>The a</w:t>
      </w:r>
      <w:r w:rsidR="00023DDC" w:rsidRPr="00195457">
        <w:rPr>
          <w:rFonts w:cs="Arial"/>
        </w:rPr>
        <w:t>pplication seeks</w:t>
      </w:r>
      <w:r w:rsidRPr="00195457">
        <w:rPr>
          <w:rFonts w:cs="Arial"/>
        </w:rPr>
        <w:t xml:space="preserve"> to align the </w:t>
      </w:r>
      <w:r w:rsidR="00810211">
        <w:rPr>
          <w:rFonts w:cs="Arial"/>
        </w:rPr>
        <w:t>m</w:t>
      </w:r>
      <w:r w:rsidR="002242ED" w:rsidRPr="00195457">
        <w:rPr>
          <w:rFonts w:cs="Arial"/>
        </w:rPr>
        <w:t xml:space="preserve">aximum </w:t>
      </w:r>
      <w:r w:rsidR="00810211">
        <w:rPr>
          <w:rFonts w:cs="Arial"/>
        </w:rPr>
        <w:t>residue l</w:t>
      </w:r>
      <w:r w:rsidR="002242ED" w:rsidRPr="00195457">
        <w:rPr>
          <w:rFonts w:cs="Arial"/>
        </w:rPr>
        <w:t>imit (</w:t>
      </w:r>
      <w:r w:rsidRPr="00195457">
        <w:rPr>
          <w:rFonts w:cs="Arial"/>
        </w:rPr>
        <w:t>MRL</w:t>
      </w:r>
      <w:r w:rsidR="002242ED" w:rsidRPr="00195457">
        <w:rPr>
          <w:rFonts w:cs="Arial"/>
        </w:rPr>
        <w:t>)</w:t>
      </w:r>
      <w:r w:rsidRPr="00195457">
        <w:rPr>
          <w:rFonts w:cs="Arial"/>
        </w:rPr>
        <w:t xml:space="preserve"> in </w:t>
      </w:r>
      <w:r w:rsidRPr="00195457">
        <w:t xml:space="preserve">Schedule 20 of the </w:t>
      </w:r>
      <w:r w:rsidRPr="00195457">
        <w:rPr>
          <w:i/>
        </w:rPr>
        <w:t xml:space="preserve">Australian New Zealand Food Standards </w:t>
      </w:r>
      <w:r w:rsidRPr="00195457" w:rsidDel="0042539C">
        <w:rPr>
          <w:i/>
        </w:rPr>
        <w:t>Code</w:t>
      </w:r>
      <w:r w:rsidRPr="00195457">
        <w:t xml:space="preserve"> (the Code)</w:t>
      </w:r>
      <w:r w:rsidRPr="00195457">
        <w:rPr>
          <w:rFonts w:cs="Arial"/>
        </w:rPr>
        <w:t xml:space="preserve"> for the chemical and food commodity with </w:t>
      </w:r>
      <w:r w:rsidRPr="00195457">
        <w:t>the MRL</w:t>
      </w:r>
      <w:r w:rsidR="00023DDC" w:rsidRPr="00195457">
        <w:t xml:space="preserve"> currently</w:t>
      </w:r>
      <w:r w:rsidRPr="00195457">
        <w:t xml:space="preserve"> listed in the </w:t>
      </w:r>
      <w:r w:rsidR="000E6E1E" w:rsidRPr="00BA3507">
        <w:rPr>
          <w:lang w:bidi="ar-SA"/>
        </w:rPr>
        <w:t>Australian Pesticides and Veterinary Medicines Authority (APVMA) Agricultural and Veterinary Chemicals Code (MRL Standard) Instrument 2019</w:t>
      </w:r>
      <w:r w:rsidR="00E4623F" w:rsidRPr="00BA3507">
        <w:rPr>
          <w:lang w:bidi="ar-SA"/>
        </w:rPr>
        <w:t xml:space="preserve"> </w:t>
      </w:r>
      <w:r w:rsidR="00023DDC" w:rsidRPr="00BA3507">
        <w:t>– Authorised Version F2019</w:t>
      </w:r>
      <w:r w:rsidR="000E6E1E" w:rsidRPr="00BA3507">
        <w:t>L01105</w:t>
      </w:r>
      <w:r w:rsidR="00023DDC" w:rsidRPr="00BA3507">
        <w:t xml:space="preserve"> registered 2</w:t>
      </w:r>
      <w:r w:rsidR="000E6E1E" w:rsidRPr="00BA3507">
        <w:t>7</w:t>
      </w:r>
      <w:r w:rsidR="00023DDC" w:rsidRPr="00BA3507">
        <w:t>/0</w:t>
      </w:r>
      <w:r w:rsidR="000E6E1E" w:rsidRPr="00BA3507">
        <w:t>8</w:t>
      </w:r>
      <w:r w:rsidR="00023DDC" w:rsidRPr="00BA3507">
        <w:t xml:space="preserve">/2019) </w:t>
      </w:r>
      <w:r w:rsidR="00437649" w:rsidRPr="00195457">
        <w:t xml:space="preserve">and the </w:t>
      </w:r>
      <w:r w:rsidR="001D3A98" w:rsidRPr="00195457">
        <w:t xml:space="preserve">Codex Alimentarius Committee (Codex) </w:t>
      </w:r>
      <w:r w:rsidR="00437649" w:rsidRPr="00195457">
        <w:t>MRL</w:t>
      </w:r>
      <w:r w:rsidRPr="00195457">
        <w:t xml:space="preserve">. </w:t>
      </w:r>
      <w:r w:rsidR="00437649" w:rsidRPr="00195457">
        <w:t xml:space="preserve">The </w:t>
      </w:r>
      <w:r w:rsidR="00810211">
        <w:t xml:space="preserve">two </w:t>
      </w:r>
      <w:r w:rsidR="00403DAA">
        <w:t xml:space="preserve">latter </w:t>
      </w:r>
      <w:r w:rsidR="00437649" w:rsidRPr="00195457">
        <w:t xml:space="preserve">standards </w:t>
      </w:r>
      <w:r w:rsidRPr="00195457">
        <w:t xml:space="preserve">reflect </w:t>
      </w:r>
      <w:r w:rsidR="00810211">
        <w:t xml:space="preserve">current </w:t>
      </w:r>
      <w:r w:rsidRPr="00195457">
        <w:t xml:space="preserve">legitimate use of </w:t>
      </w:r>
      <w:r w:rsidR="003046C2">
        <w:t>i</w:t>
      </w:r>
      <w:r w:rsidR="002242ED" w:rsidRPr="00195457">
        <w:t>mazapyr</w:t>
      </w:r>
      <w:r w:rsidRPr="00195457">
        <w:t xml:space="preserve"> in the production of </w:t>
      </w:r>
      <w:r w:rsidR="002242ED" w:rsidRPr="00195457">
        <w:t xml:space="preserve">barley and the amount of residue permitted on the </w:t>
      </w:r>
      <w:r w:rsidR="001D3A98">
        <w:t>commodity</w:t>
      </w:r>
      <w:r w:rsidR="00810211">
        <w:t xml:space="preserve"> following its use</w:t>
      </w:r>
      <w:r w:rsidR="002242ED" w:rsidRPr="00195457">
        <w:t xml:space="preserve"> according to </w:t>
      </w:r>
      <w:r w:rsidR="00D57FA1">
        <w:t xml:space="preserve">label instructions and </w:t>
      </w:r>
      <w:r w:rsidR="00810211">
        <w:t xml:space="preserve">established </w:t>
      </w:r>
      <w:r w:rsidR="00D57FA1">
        <w:t>good agricultural practice</w:t>
      </w:r>
      <w:r w:rsidRPr="00195457">
        <w:t xml:space="preserve">. </w:t>
      </w:r>
    </w:p>
    <w:p w14:paraId="72967194" w14:textId="77777777" w:rsidR="00437649" w:rsidRPr="00195457" w:rsidRDefault="00437649" w:rsidP="002C011A">
      <w:pPr>
        <w:tabs>
          <w:tab w:val="left" w:pos="142"/>
        </w:tabs>
      </w:pPr>
    </w:p>
    <w:p w14:paraId="15245EE9" w14:textId="7FFC00B9" w:rsidR="00F576DE" w:rsidRPr="00195457" w:rsidRDefault="00F576DE" w:rsidP="002C011A">
      <w:pPr>
        <w:tabs>
          <w:tab w:val="left" w:pos="142"/>
        </w:tabs>
      </w:pPr>
      <w:r w:rsidRPr="00195457">
        <w:t xml:space="preserve">The Application has the support of the </w:t>
      </w:r>
      <w:r w:rsidR="002242ED" w:rsidRPr="00195457">
        <w:t xml:space="preserve">APVMA </w:t>
      </w:r>
      <w:r w:rsidR="001873EE">
        <w:t>because</w:t>
      </w:r>
      <w:r w:rsidR="002242ED" w:rsidRPr="00195457">
        <w:t xml:space="preserve"> the agency is aware of the </w:t>
      </w:r>
      <w:r w:rsidR="00437649" w:rsidRPr="00195457">
        <w:t>different MRLs</w:t>
      </w:r>
      <w:r w:rsidR="002242ED" w:rsidRPr="00195457">
        <w:t xml:space="preserve"> in the two domestic </w:t>
      </w:r>
      <w:r w:rsidR="00F7497D">
        <w:t xml:space="preserve">MRL </w:t>
      </w:r>
      <w:r w:rsidR="002242ED" w:rsidRPr="00195457">
        <w:t>standards for the chemical and food commodity. In addition, the APVMA undertook extensive risk assessment and evaluation studies based on the new data provided by the registrant (BASF Australia</w:t>
      </w:r>
      <w:r w:rsidR="00437649" w:rsidRPr="00195457">
        <w:t xml:space="preserve"> Ltd</w:t>
      </w:r>
      <w:r w:rsidR="002242ED" w:rsidRPr="00195457">
        <w:t xml:space="preserve">) before it </w:t>
      </w:r>
      <w:r w:rsidR="005122A9">
        <w:t>increased</w:t>
      </w:r>
      <w:r w:rsidR="00F7497D" w:rsidRPr="00195457">
        <w:t xml:space="preserve"> </w:t>
      </w:r>
      <w:r w:rsidR="002242ED" w:rsidRPr="00195457">
        <w:t xml:space="preserve">the MRL in </w:t>
      </w:r>
      <w:r w:rsidRPr="00195457">
        <w:t xml:space="preserve">the APVMA MRL Standard. </w:t>
      </w:r>
    </w:p>
    <w:p w14:paraId="59E3A659" w14:textId="77777777" w:rsidR="002242ED" w:rsidRPr="00195457" w:rsidRDefault="002242ED" w:rsidP="002C011A">
      <w:pPr>
        <w:tabs>
          <w:tab w:val="left" w:pos="142"/>
        </w:tabs>
      </w:pPr>
    </w:p>
    <w:p w14:paraId="7DE689FF" w14:textId="6A03A07C" w:rsidR="004779E4" w:rsidRPr="00195457" w:rsidRDefault="000F2B9D" w:rsidP="002C011A">
      <w:pPr>
        <w:tabs>
          <w:tab w:val="left" w:pos="142"/>
        </w:tabs>
        <w:rPr>
          <w:rFonts w:cs="Arial"/>
        </w:rPr>
      </w:pPr>
      <w:r>
        <w:rPr>
          <w:rFonts w:cs="Arial"/>
        </w:rPr>
        <w:t>The residue definition for i</w:t>
      </w:r>
      <w:r w:rsidR="004779E4" w:rsidRPr="00195457">
        <w:rPr>
          <w:rFonts w:cs="Arial"/>
        </w:rPr>
        <w:t>mazapyr remains unchanged as imazapyr</w:t>
      </w:r>
      <w:r w:rsidR="009E7F7C">
        <w:rPr>
          <w:rFonts w:cs="Arial"/>
        </w:rPr>
        <w:t>,</w:t>
      </w:r>
      <w:r w:rsidR="004779E4" w:rsidRPr="00195457">
        <w:rPr>
          <w:rFonts w:cs="Arial"/>
        </w:rPr>
        <w:t xml:space="preserve"> and is listed as such in both the APVMA MRL Standard and Schedule 20 of the Code. It is also the same as agreed by the </w:t>
      </w:r>
      <w:r w:rsidR="00BA3507">
        <w:t>FAO/WHO Joint Meeting on Pesticide Residues (</w:t>
      </w:r>
      <w:r w:rsidR="00BA3507" w:rsidRPr="00195457">
        <w:t>JMPR</w:t>
      </w:r>
      <w:r w:rsidR="00BA3507">
        <w:t xml:space="preserve">) </w:t>
      </w:r>
      <w:r w:rsidR="004779E4" w:rsidRPr="00195457">
        <w:rPr>
          <w:rFonts w:cs="Arial"/>
        </w:rPr>
        <w:t xml:space="preserve">in 2013 </w:t>
      </w:r>
      <w:r w:rsidR="00403DAA">
        <w:rPr>
          <w:rFonts w:cs="Arial"/>
        </w:rPr>
        <w:t xml:space="preserve">and is used internationally </w:t>
      </w:r>
      <w:r w:rsidR="004779E4" w:rsidRPr="00195457">
        <w:rPr>
          <w:rFonts w:cs="Arial"/>
        </w:rPr>
        <w:t>as the defini</w:t>
      </w:r>
      <w:r>
        <w:rPr>
          <w:rFonts w:cs="Arial"/>
        </w:rPr>
        <w:t xml:space="preserve">tion of the residue </w:t>
      </w:r>
      <w:r w:rsidR="004779E4" w:rsidRPr="00195457">
        <w:rPr>
          <w:rFonts w:cs="Arial"/>
        </w:rPr>
        <w:t>fo</w:t>
      </w:r>
      <w:r w:rsidR="00FD7B71">
        <w:rPr>
          <w:rFonts w:cs="Arial"/>
        </w:rPr>
        <w:t xml:space="preserve">r plant and animal commodities </w:t>
      </w:r>
      <w:r w:rsidR="004779E4" w:rsidRPr="00195457">
        <w:rPr>
          <w:rFonts w:cs="Arial"/>
        </w:rPr>
        <w:t>for compliance with MRLs and f</w:t>
      </w:r>
      <w:r w:rsidR="00FD7B71">
        <w:rPr>
          <w:rFonts w:cs="Arial"/>
        </w:rPr>
        <w:t>or estimation of dietary intake</w:t>
      </w:r>
      <w:r w:rsidR="004779E4" w:rsidRPr="00195457">
        <w:rPr>
          <w:rFonts w:cs="Arial"/>
        </w:rPr>
        <w:t>.</w:t>
      </w:r>
    </w:p>
    <w:p w14:paraId="5147F4A5" w14:textId="5C66514D" w:rsidR="004779E4" w:rsidRPr="00195457" w:rsidRDefault="004779E4" w:rsidP="002C011A">
      <w:pPr>
        <w:tabs>
          <w:tab w:val="left" w:pos="142"/>
        </w:tabs>
      </w:pPr>
    </w:p>
    <w:p w14:paraId="72ED7761" w14:textId="61E2FD01" w:rsidR="004779E4" w:rsidRPr="00195457" w:rsidRDefault="004779E4" w:rsidP="002C011A">
      <w:pPr>
        <w:tabs>
          <w:tab w:val="left" w:pos="142"/>
        </w:tabs>
      </w:pPr>
      <w:bookmarkStart w:id="6" w:name="_Toc520719959"/>
      <w:bookmarkStart w:id="7" w:name="_Toc527974301"/>
      <w:bookmarkStart w:id="8" w:name="_Toc527984055"/>
      <w:bookmarkStart w:id="9" w:name="_Toc527984371"/>
      <w:bookmarkStart w:id="10" w:name="_Toc527984560"/>
      <w:bookmarkStart w:id="11" w:name="_Toc527985863"/>
      <w:bookmarkStart w:id="12" w:name="_Toc527985962"/>
      <w:bookmarkStart w:id="13" w:name="_Toc528049872"/>
      <w:bookmarkStart w:id="14" w:name="_Toc528071921"/>
      <w:bookmarkStart w:id="15" w:name="_Toc531272174"/>
    </w:p>
    <w:p w14:paraId="402B9BC5" w14:textId="0C2B80DD" w:rsidR="004779E4" w:rsidRPr="002242ED" w:rsidRDefault="004779E4" w:rsidP="002C011A">
      <w:pPr>
        <w:pStyle w:val="FSCh1Chap"/>
        <w:ind w:left="0" w:firstLine="0"/>
      </w:pPr>
      <w:bookmarkStart w:id="16" w:name="_Toc19629406"/>
      <w:r>
        <w:t xml:space="preserve">2   </w:t>
      </w:r>
      <w:r w:rsidR="002C011A">
        <w:tab/>
      </w:r>
      <w:r w:rsidR="002C011A">
        <w:tab/>
      </w:r>
      <w:r w:rsidRPr="001D3CB6">
        <w:rPr>
          <w:sz w:val="36"/>
          <w:szCs w:val="36"/>
        </w:rPr>
        <w:t>Dietary Exposure Assessment</w:t>
      </w:r>
      <w:bookmarkEnd w:id="16"/>
    </w:p>
    <w:p w14:paraId="640398D3" w14:textId="5545B2EF" w:rsidR="004779E4" w:rsidRPr="00340B47" w:rsidRDefault="004779E4" w:rsidP="002C011A">
      <w:pPr>
        <w:pStyle w:val="Heading2"/>
      </w:pPr>
      <w:bookmarkStart w:id="17" w:name="_Toc465940268"/>
      <w:bookmarkStart w:id="18" w:name="_Toc11315160"/>
      <w:bookmarkStart w:id="19" w:name="_Toc19629407"/>
      <w:r>
        <w:t>2</w:t>
      </w:r>
      <w:r w:rsidRPr="00340B47">
        <w:t>.1</w:t>
      </w:r>
      <w:r w:rsidRPr="00340B47">
        <w:tab/>
        <w:t>Background</w:t>
      </w:r>
      <w:bookmarkEnd w:id="17"/>
      <w:bookmarkEnd w:id="18"/>
      <w:bookmarkEnd w:id="19"/>
    </w:p>
    <w:p w14:paraId="005C696E" w14:textId="61517BCD" w:rsidR="005378AE" w:rsidRPr="00195457" w:rsidRDefault="005378AE" w:rsidP="002C011A">
      <w:pPr>
        <w:tabs>
          <w:tab w:val="left" w:pos="142"/>
        </w:tabs>
      </w:pPr>
      <w:r w:rsidRPr="00195457">
        <w:t xml:space="preserve">FSANZ’s risk assessment process includes estimating dietary exposure for the requested chemical using the relevant </w:t>
      </w:r>
      <w:r w:rsidR="006058D1">
        <w:t>h</w:t>
      </w:r>
      <w:r w:rsidRPr="00195457">
        <w:t xml:space="preserve">ealth </w:t>
      </w:r>
      <w:r w:rsidR="006058D1">
        <w:t>b</w:t>
      </w:r>
      <w:r w:rsidRPr="00195457">
        <w:t xml:space="preserve">ased </w:t>
      </w:r>
      <w:r w:rsidR="006058D1">
        <w:t>g</w:t>
      </w:r>
      <w:r w:rsidRPr="00195457">
        <w:t xml:space="preserve">uidance </w:t>
      </w:r>
      <w:r w:rsidR="006058D1">
        <w:t>v</w:t>
      </w:r>
      <w:r w:rsidRPr="00195457">
        <w:t xml:space="preserve">alue (HBGV), such as </w:t>
      </w:r>
      <w:r w:rsidR="002250EE">
        <w:t xml:space="preserve">the </w:t>
      </w:r>
      <w:r w:rsidRPr="00195457">
        <w:t>Acceptable Daily Intake (ADI) or Acute Reference Dose (ARfD)</w:t>
      </w:r>
      <w:r w:rsidR="002250EE">
        <w:t>. These values are</w:t>
      </w:r>
      <w:r w:rsidRPr="00195457">
        <w:t xml:space="preserve"> established by the APVMA or </w:t>
      </w:r>
      <w:r w:rsidR="005A10DD">
        <w:t>adopted from that established by the FAO/WHO Joint Meeting on Pesticide Residues (</w:t>
      </w:r>
      <w:r w:rsidRPr="00195457">
        <w:t>JMPR</w:t>
      </w:r>
      <w:r w:rsidR="005A10DD">
        <w:t>)</w:t>
      </w:r>
      <w:r w:rsidRPr="00195457">
        <w:t xml:space="preserve">. </w:t>
      </w:r>
    </w:p>
    <w:p w14:paraId="53A7DD98" w14:textId="77777777" w:rsidR="006C6401" w:rsidRDefault="006C6401" w:rsidP="002C011A">
      <w:pPr>
        <w:tabs>
          <w:tab w:val="left" w:pos="142"/>
        </w:tabs>
      </w:pPr>
    </w:p>
    <w:p w14:paraId="744563F2" w14:textId="146F6D42" w:rsidR="005378AE" w:rsidRPr="00195457" w:rsidRDefault="005378AE" w:rsidP="002C011A">
      <w:pPr>
        <w:tabs>
          <w:tab w:val="left" w:pos="142"/>
        </w:tabs>
      </w:pPr>
      <w:r w:rsidRPr="00195457">
        <w:t xml:space="preserve">The methods used for the dietary exposure estimates are consistent </w:t>
      </w:r>
      <w:r w:rsidRPr="00195457">
        <w:rPr>
          <w:szCs w:val="22"/>
        </w:rPr>
        <w:t>with interna</w:t>
      </w:r>
      <w:r w:rsidR="00E63D57">
        <w:rPr>
          <w:szCs w:val="22"/>
        </w:rPr>
        <w:t>tionally accepted methodologies</w:t>
      </w:r>
      <w:r w:rsidRPr="00195457">
        <w:rPr>
          <w:szCs w:val="22"/>
        </w:rPr>
        <w:t xml:space="preserve"> and </w:t>
      </w:r>
      <w:r w:rsidRPr="00195457">
        <w:t>with the APVMA’s risk assessment framework for approving and registering agricultural chemical products in Australia</w:t>
      </w:r>
      <w:r w:rsidR="00E63D57">
        <w:t>. It is also</w:t>
      </w:r>
      <w:r w:rsidRPr="00195457">
        <w:t xml:space="preserve"> the process used by both the APVMA and FSANZ for establishing and reviewing MRLs in Schedule 20 of the </w:t>
      </w:r>
      <w:r w:rsidR="002D7A6A">
        <w:rPr>
          <w:szCs w:val="22"/>
        </w:rPr>
        <w:t>Australia New Zealand Food Standards Code (the Code)</w:t>
      </w:r>
      <w:r w:rsidRPr="00195457">
        <w:t>.</w:t>
      </w:r>
    </w:p>
    <w:p w14:paraId="5A254B98" w14:textId="77777777" w:rsidR="00403DAA" w:rsidRDefault="00403DAA" w:rsidP="002C011A">
      <w:pPr>
        <w:pStyle w:val="Default"/>
        <w:rPr>
          <w:sz w:val="22"/>
          <w:szCs w:val="22"/>
        </w:rPr>
      </w:pPr>
    </w:p>
    <w:p w14:paraId="790AC2B2" w14:textId="682CBB51" w:rsidR="004779E4" w:rsidRDefault="004779E4" w:rsidP="002C011A">
      <w:pPr>
        <w:pStyle w:val="Default"/>
        <w:rPr>
          <w:sz w:val="22"/>
          <w:szCs w:val="22"/>
        </w:rPr>
      </w:pPr>
      <w:r>
        <w:rPr>
          <w:sz w:val="22"/>
          <w:szCs w:val="22"/>
        </w:rPr>
        <w:t>Variations to MRLs in</w:t>
      </w:r>
      <w:r w:rsidR="005378AE">
        <w:rPr>
          <w:sz w:val="22"/>
          <w:szCs w:val="22"/>
        </w:rPr>
        <w:t xml:space="preserve"> the</w:t>
      </w:r>
      <w:r>
        <w:rPr>
          <w:sz w:val="22"/>
          <w:szCs w:val="22"/>
        </w:rPr>
        <w:t xml:space="preserve"> </w:t>
      </w:r>
      <w:r w:rsidR="002D7A6A" w:rsidRPr="00195457">
        <w:t>Code</w:t>
      </w:r>
      <w:r w:rsidR="002D7A6A">
        <w:rPr>
          <w:sz w:val="22"/>
          <w:szCs w:val="22"/>
        </w:rPr>
        <w:t xml:space="preserve"> </w:t>
      </w:r>
      <w:r>
        <w:rPr>
          <w:sz w:val="22"/>
          <w:szCs w:val="22"/>
        </w:rPr>
        <w:t xml:space="preserve">will not be supported where estimated dietary exposure to the residue of </w:t>
      </w:r>
      <w:r w:rsidR="00AF60E0">
        <w:rPr>
          <w:sz w:val="22"/>
          <w:szCs w:val="22"/>
        </w:rPr>
        <w:t>a</w:t>
      </w:r>
      <w:r>
        <w:rPr>
          <w:sz w:val="22"/>
          <w:szCs w:val="22"/>
        </w:rPr>
        <w:t xml:space="preserve"> chemical indicate</w:t>
      </w:r>
      <w:r w:rsidR="00403DAA">
        <w:rPr>
          <w:sz w:val="22"/>
          <w:szCs w:val="22"/>
        </w:rPr>
        <w:t>s</w:t>
      </w:r>
      <w:r>
        <w:rPr>
          <w:sz w:val="22"/>
          <w:szCs w:val="22"/>
        </w:rPr>
        <w:t xml:space="preserve"> a potential public health and safety risk for consumers.</w:t>
      </w:r>
    </w:p>
    <w:p w14:paraId="2CDC2405" w14:textId="77777777" w:rsidR="004779E4" w:rsidRDefault="004779E4" w:rsidP="002C011A">
      <w:pPr>
        <w:pStyle w:val="Default"/>
        <w:rPr>
          <w:sz w:val="22"/>
          <w:szCs w:val="22"/>
        </w:rPr>
      </w:pPr>
    </w:p>
    <w:p w14:paraId="145EA950" w14:textId="77777777" w:rsidR="004779E4" w:rsidRDefault="004779E4" w:rsidP="002C011A">
      <w:pPr>
        <w:pStyle w:val="Default"/>
        <w:rPr>
          <w:sz w:val="22"/>
          <w:szCs w:val="22"/>
        </w:rPr>
      </w:pPr>
      <w:r>
        <w:rPr>
          <w:sz w:val="22"/>
          <w:szCs w:val="22"/>
        </w:rPr>
        <w:t>The steps undertaken in conducting a DEA are:</w:t>
      </w:r>
    </w:p>
    <w:p w14:paraId="0E921F35" w14:textId="77777777" w:rsidR="004779E4" w:rsidRDefault="004779E4" w:rsidP="002C011A">
      <w:pPr>
        <w:pStyle w:val="Default"/>
        <w:rPr>
          <w:sz w:val="22"/>
          <w:szCs w:val="22"/>
        </w:rPr>
      </w:pPr>
    </w:p>
    <w:p w14:paraId="16C3F020" w14:textId="77777777" w:rsidR="004779E4" w:rsidRPr="00910D97" w:rsidRDefault="004779E4" w:rsidP="002C011A">
      <w:pPr>
        <w:pStyle w:val="FSBullet1"/>
        <w:numPr>
          <w:ilvl w:val="0"/>
          <w:numId w:val="4"/>
        </w:numPr>
        <w:ind w:left="0" w:firstLine="0"/>
      </w:pPr>
      <w:r w:rsidRPr="00884088">
        <w:t>determinin</w:t>
      </w:r>
      <w:r w:rsidRPr="00910D97">
        <w:t xml:space="preserve">g the residues of a chemical in </w:t>
      </w:r>
      <w:r>
        <w:t xml:space="preserve">the food or </w:t>
      </w:r>
      <w:r w:rsidRPr="00910D97">
        <w:t>foods of interest</w:t>
      </w:r>
    </w:p>
    <w:p w14:paraId="75DFB41E" w14:textId="77777777" w:rsidR="004779E4" w:rsidRPr="00910D97" w:rsidRDefault="004779E4" w:rsidP="00090366">
      <w:pPr>
        <w:pStyle w:val="FSBullet1"/>
        <w:numPr>
          <w:ilvl w:val="0"/>
          <w:numId w:val="4"/>
        </w:numPr>
        <w:ind w:left="567" w:hanging="567"/>
      </w:pPr>
      <w:r w:rsidRPr="00910D97">
        <w:lastRenderedPageBreak/>
        <w:t xml:space="preserve">calculating dietary exposure to a chemical from relevant foods, using residue data and food consumption data from Australian national nutrition surveys </w:t>
      </w:r>
    </w:p>
    <w:p w14:paraId="220DE174" w14:textId="337AABFF" w:rsidR="004779E4" w:rsidRDefault="004779E4" w:rsidP="00090366">
      <w:pPr>
        <w:pStyle w:val="FSBullet1"/>
        <w:numPr>
          <w:ilvl w:val="0"/>
          <w:numId w:val="4"/>
        </w:numPr>
        <w:ind w:left="567" w:hanging="567"/>
      </w:pPr>
      <w:r w:rsidRPr="00910D97">
        <w:t>completi</w:t>
      </w:r>
      <w:r w:rsidRPr="00884088">
        <w:t xml:space="preserve">ng a risk characterisation where estimated dietary exposures are compared to the relevant </w:t>
      </w:r>
      <w:r>
        <w:t>health based guidance value (</w:t>
      </w:r>
      <w:r w:rsidRPr="00884088">
        <w:t>HBGV</w:t>
      </w:r>
      <w:r>
        <w:t>)</w:t>
      </w:r>
      <w:r w:rsidR="002250EE">
        <w:t>.</w:t>
      </w:r>
    </w:p>
    <w:p w14:paraId="098EF10A" w14:textId="77777777" w:rsidR="004779E4" w:rsidRPr="002C5669" w:rsidRDefault="004779E4" w:rsidP="002C011A"/>
    <w:p w14:paraId="4BC1D490" w14:textId="77777777" w:rsidR="004779E4" w:rsidRPr="00910D97" w:rsidRDefault="004779E4" w:rsidP="002C011A">
      <w:pPr>
        <w:rPr>
          <w:rStyle w:val="Hyperlink"/>
          <w:szCs w:val="22"/>
        </w:rPr>
      </w:pPr>
      <w:r w:rsidRPr="007355E7">
        <w:rPr>
          <w:rFonts w:cs="Arial"/>
          <w:szCs w:val="22"/>
        </w:rPr>
        <w:t>Further information on</w:t>
      </w:r>
      <w:r>
        <w:rPr>
          <w:rFonts w:cs="Arial"/>
          <w:szCs w:val="22"/>
        </w:rPr>
        <w:t xml:space="preserve"> how FSANZ conducts</w:t>
      </w:r>
      <w:r w:rsidRPr="007355E7">
        <w:rPr>
          <w:rFonts w:cs="Arial"/>
          <w:szCs w:val="22"/>
        </w:rPr>
        <w:t xml:space="preserve"> </w:t>
      </w:r>
      <w:r>
        <w:rPr>
          <w:rFonts w:cs="Arial"/>
          <w:szCs w:val="22"/>
        </w:rPr>
        <w:t xml:space="preserve">DEAs </w:t>
      </w:r>
      <w:r w:rsidRPr="007355E7">
        <w:rPr>
          <w:rFonts w:cs="Arial"/>
          <w:szCs w:val="22"/>
        </w:rPr>
        <w:t xml:space="preserve">is available </w:t>
      </w:r>
      <w:r>
        <w:rPr>
          <w:rFonts w:cs="Arial"/>
          <w:szCs w:val="22"/>
        </w:rPr>
        <w:t xml:space="preserve">on the </w:t>
      </w:r>
      <w:hyperlink r:id="rId21" w:history="1">
        <w:r>
          <w:rPr>
            <w:rStyle w:val="Hyperlink"/>
          </w:rPr>
          <w:t>FSANZ website</w:t>
        </w:r>
      </w:hyperlink>
      <w:r w:rsidRPr="00910D97">
        <w:rPr>
          <w:rStyle w:val="FootnoteReference"/>
        </w:rPr>
        <w:footnoteReference w:id="2"/>
      </w:r>
      <w:r w:rsidRPr="00910D97">
        <w:rPr>
          <w:rStyle w:val="Hyperlink"/>
        </w:rPr>
        <w:t>.</w:t>
      </w:r>
    </w:p>
    <w:p w14:paraId="66048089" w14:textId="10A668C0" w:rsidR="004779E4" w:rsidRPr="00B76E43" w:rsidRDefault="004779E4" w:rsidP="002C011A">
      <w:pPr>
        <w:pStyle w:val="Heading3"/>
        <w:ind w:left="0" w:firstLine="0"/>
      </w:pPr>
      <w:bookmarkStart w:id="20" w:name="_Toc465940271"/>
      <w:bookmarkStart w:id="21" w:name="_Toc11315163"/>
      <w:bookmarkStart w:id="22" w:name="_Toc19629408"/>
      <w:r>
        <w:t>2.1.1</w:t>
      </w:r>
      <w:r>
        <w:tab/>
        <w:t xml:space="preserve">Australian </w:t>
      </w:r>
      <w:r w:rsidRPr="00B76E43">
        <w:t>National Nutrition and Physical Activity Survey (NNPAS)</w:t>
      </w:r>
      <w:bookmarkEnd w:id="20"/>
      <w:bookmarkEnd w:id="21"/>
      <w:bookmarkEnd w:id="22"/>
    </w:p>
    <w:p w14:paraId="55C3FB02" w14:textId="748EBEE3" w:rsidR="004779E4" w:rsidRDefault="004779E4" w:rsidP="002C011A">
      <w:pPr>
        <w:rPr>
          <w:rFonts w:cs="Arial"/>
          <w:szCs w:val="22"/>
          <w:lang w:eastAsia="en-AU"/>
        </w:rPr>
      </w:pPr>
      <w:r>
        <w:rPr>
          <w:rFonts w:cs="Arial"/>
          <w:szCs w:val="22"/>
          <w:lang w:eastAsia="en-AU"/>
        </w:rPr>
        <w:t>The m</w:t>
      </w:r>
      <w:r w:rsidRPr="003F627C">
        <w:rPr>
          <w:rFonts w:cs="Arial"/>
          <w:szCs w:val="22"/>
          <w:lang w:eastAsia="en-AU"/>
        </w:rPr>
        <w:t xml:space="preserve">ean food consumption data used to </w:t>
      </w:r>
      <w:r>
        <w:rPr>
          <w:rFonts w:cs="Arial"/>
          <w:szCs w:val="22"/>
          <w:lang w:eastAsia="en-AU"/>
        </w:rPr>
        <w:t xml:space="preserve">estimate </w:t>
      </w:r>
      <w:r w:rsidR="005378AE">
        <w:rPr>
          <w:rFonts w:cs="Arial"/>
          <w:szCs w:val="22"/>
          <w:lang w:eastAsia="en-AU"/>
        </w:rPr>
        <w:t xml:space="preserve">the </w:t>
      </w:r>
      <w:r>
        <w:rPr>
          <w:rFonts w:cs="Arial"/>
          <w:szCs w:val="22"/>
          <w:lang w:eastAsia="en-AU"/>
        </w:rPr>
        <w:t>dietary exposure</w:t>
      </w:r>
      <w:r w:rsidRPr="003F627C">
        <w:rPr>
          <w:rFonts w:cs="Arial"/>
          <w:szCs w:val="22"/>
          <w:lang w:eastAsia="en-AU"/>
        </w:rPr>
        <w:t xml:space="preserve"> were derived from the National Nutrition and Physical Activity Survey (NNPAS). The two day average exposure was derived based on consumption data from the respondents with two days of data (applying a different set of sample weights to make this survey sub-sample rep</w:t>
      </w:r>
      <w:r>
        <w:rPr>
          <w:rFonts w:cs="Arial"/>
          <w:szCs w:val="22"/>
          <w:lang w:eastAsia="en-AU"/>
        </w:rPr>
        <w:t>resentative of the population).</w:t>
      </w:r>
    </w:p>
    <w:p w14:paraId="5A816380" w14:textId="77777777" w:rsidR="004779E4" w:rsidRDefault="004779E4" w:rsidP="002C011A">
      <w:pPr>
        <w:rPr>
          <w:rFonts w:cs="Arial"/>
          <w:szCs w:val="22"/>
          <w:lang w:eastAsia="en-AU"/>
        </w:rPr>
      </w:pPr>
    </w:p>
    <w:p w14:paraId="30D3154B" w14:textId="6FCEA280" w:rsidR="004779E4" w:rsidRDefault="004779E4" w:rsidP="002C011A">
      <w:pPr>
        <w:rPr>
          <w:rFonts w:cs="Arial"/>
          <w:szCs w:val="22"/>
          <w:lang w:eastAsia="en-AU"/>
        </w:rPr>
      </w:pPr>
      <w:r w:rsidRPr="003F627C">
        <w:rPr>
          <w:rFonts w:eastAsiaTheme="majorEastAsia"/>
        </w:rPr>
        <w:t xml:space="preserve">Consumption amounts were for </w:t>
      </w:r>
      <w:r>
        <w:rPr>
          <w:rFonts w:eastAsiaTheme="majorEastAsia"/>
        </w:rPr>
        <w:t>all respondents</w:t>
      </w:r>
      <w:r w:rsidRPr="003F627C">
        <w:rPr>
          <w:rFonts w:eastAsiaTheme="majorEastAsia"/>
        </w:rPr>
        <w:t xml:space="preserve"> that were survey</w:t>
      </w:r>
      <w:r w:rsidR="00C4420E">
        <w:rPr>
          <w:rFonts w:eastAsiaTheme="majorEastAsia"/>
        </w:rPr>
        <w:t xml:space="preserve">ed over </w:t>
      </w:r>
      <w:r w:rsidR="00A23733">
        <w:rPr>
          <w:rFonts w:eastAsiaTheme="majorEastAsia"/>
        </w:rPr>
        <w:t>two</w:t>
      </w:r>
      <w:r w:rsidR="00C4420E">
        <w:rPr>
          <w:rFonts w:eastAsiaTheme="majorEastAsia"/>
        </w:rPr>
        <w:t xml:space="preserve"> non-consecutive days and t</w:t>
      </w:r>
      <w:r>
        <w:rPr>
          <w:rFonts w:eastAsiaTheme="majorEastAsia"/>
        </w:rPr>
        <w:t>he c</w:t>
      </w:r>
      <w:r w:rsidRPr="003F627C">
        <w:rPr>
          <w:rFonts w:eastAsiaTheme="majorEastAsia"/>
        </w:rPr>
        <w:t xml:space="preserve">onsumption </w:t>
      </w:r>
      <w:r>
        <w:rPr>
          <w:rFonts w:eastAsiaTheme="majorEastAsia"/>
        </w:rPr>
        <w:t xml:space="preserve">amounts </w:t>
      </w:r>
      <w:r w:rsidRPr="003F627C">
        <w:rPr>
          <w:rFonts w:eastAsiaTheme="majorEastAsia"/>
        </w:rPr>
        <w:t>over the two days was averaged.</w:t>
      </w:r>
      <w:r w:rsidRPr="003F627C">
        <w:rPr>
          <w:rFonts w:cs="Arial"/>
          <w:szCs w:val="22"/>
          <w:lang w:eastAsia="en-AU"/>
        </w:rPr>
        <w:t xml:space="preserve"> The two day average exposures better reflects longer term estimates of dietary exposure and therefore are a better estimate of chronic dietary exposure.</w:t>
      </w:r>
    </w:p>
    <w:p w14:paraId="2CE4B863" w14:textId="77777777" w:rsidR="004779E4" w:rsidRDefault="004779E4" w:rsidP="002C011A">
      <w:pPr>
        <w:rPr>
          <w:rFonts w:cs="Arial"/>
          <w:szCs w:val="22"/>
          <w:lang w:eastAsia="en-AU"/>
        </w:rPr>
      </w:pPr>
    </w:p>
    <w:p w14:paraId="5D827525" w14:textId="426AAFBF" w:rsidR="004779E4" w:rsidRDefault="00C4420E" w:rsidP="002C011A">
      <w:pPr>
        <w:rPr>
          <w:rFonts w:cs="Arial"/>
          <w:szCs w:val="22"/>
          <w:lang w:eastAsia="en-AU"/>
        </w:rPr>
      </w:pPr>
      <w:r>
        <w:rPr>
          <w:rFonts w:cs="Arial"/>
          <w:szCs w:val="22"/>
          <w:lang w:eastAsia="en-AU"/>
        </w:rPr>
        <w:t>The c</w:t>
      </w:r>
      <w:r w:rsidR="004779E4" w:rsidRPr="00B76E43">
        <w:rPr>
          <w:rFonts w:cs="Arial"/>
          <w:szCs w:val="22"/>
          <w:lang w:eastAsia="en-AU"/>
        </w:rPr>
        <w:t xml:space="preserve">onsumption data included </w:t>
      </w:r>
      <w:r>
        <w:rPr>
          <w:rFonts w:cs="Arial"/>
          <w:szCs w:val="22"/>
          <w:lang w:eastAsia="en-AU"/>
        </w:rPr>
        <w:t>barley</w:t>
      </w:r>
      <w:r w:rsidR="004779E4" w:rsidRPr="00B76E43">
        <w:rPr>
          <w:rFonts w:cs="Arial"/>
          <w:szCs w:val="22"/>
          <w:lang w:eastAsia="en-AU"/>
        </w:rPr>
        <w:t xml:space="preserve"> reported as consumed on </w:t>
      </w:r>
      <w:r w:rsidR="00453B21">
        <w:rPr>
          <w:rFonts w:cs="Arial"/>
          <w:szCs w:val="22"/>
          <w:lang w:eastAsia="en-AU"/>
        </w:rPr>
        <w:t>its</w:t>
      </w:r>
      <w:r w:rsidR="00453B21" w:rsidRPr="00B76E43">
        <w:rPr>
          <w:rFonts w:cs="Arial"/>
          <w:szCs w:val="22"/>
          <w:lang w:eastAsia="en-AU"/>
        </w:rPr>
        <w:t xml:space="preserve"> </w:t>
      </w:r>
      <w:r w:rsidR="004779E4" w:rsidRPr="00B76E43">
        <w:rPr>
          <w:rFonts w:cs="Arial"/>
          <w:szCs w:val="22"/>
          <w:lang w:eastAsia="en-AU"/>
        </w:rPr>
        <w:t xml:space="preserve">own </w:t>
      </w:r>
      <w:r>
        <w:rPr>
          <w:rFonts w:cs="Arial"/>
          <w:szCs w:val="22"/>
          <w:lang w:eastAsia="en-AU"/>
        </w:rPr>
        <w:t xml:space="preserve">and when used in </w:t>
      </w:r>
      <w:r w:rsidR="004779E4" w:rsidRPr="00B76E43">
        <w:rPr>
          <w:rFonts w:cs="Arial"/>
          <w:szCs w:val="22"/>
          <w:lang w:eastAsia="en-AU"/>
        </w:rPr>
        <w:t>mixed foo</w:t>
      </w:r>
      <w:r w:rsidR="004779E4">
        <w:rPr>
          <w:rFonts w:cs="Arial"/>
          <w:szCs w:val="22"/>
          <w:lang w:eastAsia="en-AU"/>
        </w:rPr>
        <w:t>d</w:t>
      </w:r>
      <w:r>
        <w:rPr>
          <w:rFonts w:cs="Arial"/>
          <w:szCs w:val="22"/>
          <w:lang w:eastAsia="en-AU"/>
        </w:rPr>
        <w:t>s</w:t>
      </w:r>
      <w:r w:rsidR="004779E4">
        <w:rPr>
          <w:rFonts w:cs="Arial"/>
          <w:szCs w:val="22"/>
          <w:lang w:eastAsia="en-AU"/>
        </w:rPr>
        <w:t>.</w:t>
      </w:r>
    </w:p>
    <w:p w14:paraId="35C944D8" w14:textId="12D7C8AF" w:rsidR="004779E4" w:rsidRPr="00B47ADF" w:rsidRDefault="004779E4" w:rsidP="002C011A">
      <w:pPr>
        <w:pStyle w:val="Heading2"/>
      </w:pPr>
      <w:bookmarkStart w:id="23" w:name="_Toc465940273"/>
      <w:bookmarkStart w:id="24" w:name="_Toc11315165"/>
      <w:bookmarkStart w:id="25" w:name="_Toc19629409"/>
      <w:r>
        <w:t>2</w:t>
      </w:r>
      <w:r w:rsidRPr="00B47ADF">
        <w:t>.</w:t>
      </w:r>
      <w:r>
        <w:t>2</w:t>
      </w:r>
      <w:r w:rsidRPr="00B47ADF">
        <w:tab/>
      </w:r>
      <w:r>
        <w:t>Dietary Exposure estimates</w:t>
      </w:r>
      <w:bookmarkEnd w:id="23"/>
      <w:bookmarkEnd w:id="24"/>
      <w:bookmarkEnd w:id="25"/>
    </w:p>
    <w:p w14:paraId="2349337B" w14:textId="77777777" w:rsidR="00A5024A" w:rsidRDefault="004779E4" w:rsidP="002C011A">
      <w:pPr>
        <w:rPr>
          <w:rFonts w:cs="Arial"/>
          <w:szCs w:val="22"/>
        </w:rPr>
      </w:pPr>
      <w:r w:rsidRPr="00195457">
        <w:rPr>
          <w:rFonts w:cs="Arial"/>
          <w:szCs w:val="22"/>
        </w:rPr>
        <w:t xml:space="preserve">Only a chronic estimate of dietary exposure, the National Estimated Daily Intake (NEDI) was </w:t>
      </w:r>
      <w:r w:rsidR="006C0B73" w:rsidRPr="00195457">
        <w:rPr>
          <w:rFonts w:cs="Arial"/>
          <w:szCs w:val="22"/>
        </w:rPr>
        <w:t>calculated</w:t>
      </w:r>
      <w:r w:rsidR="0021124C">
        <w:rPr>
          <w:rFonts w:cs="Arial"/>
          <w:szCs w:val="22"/>
        </w:rPr>
        <w:t xml:space="preserve"> for residues of i</w:t>
      </w:r>
      <w:r w:rsidRPr="00195457">
        <w:rPr>
          <w:rFonts w:cs="Arial"/>
          <w:szCs w:val="22"/>
        </w:rPr>
        <w:t xml:space="preserve">mazapyr in barley and </w:t>
      </w:r>
      <w:r w:rsidR="0021124C">
        <w:rPr>
          <w:rFonts w:cs="Arial"/>
          <w:szCs w:val="22"/>
        </w:rPr>
        <w:t xml:space="preserve">other </w:t>
      </w:r>
      <w:r w:rsidRPr="00195457">
        <w:rPr>
          <w:rFonts w:cs="Arial"/>
          <w:szCs w:val="22"/>
        </w:rPr>
        <w:t xml:space="preserve">foods currently </w:t>
      </w:r>
      <w:r w:rsidR="0021124C">
        <w:rPr>
          <w:rFonts w:cs="Arial"/>
          <w:szCs w:val="22"/>
        </w:rPr>
        <w:t>listed under</w:t>
      </w:r>
      <w:r w:rsidRPr="00195457">
        <w:rPr>
          <w:rFonts w:cs="Arial"/>
          <w:szCs w:val="22"/>
        </w:rPr>
        <w:t xml:space="preserve"> the chemical</w:t>
      </w:r>
      <w:r w:rsidR="006C0B73" w:rsidRPr="00195457">
        <w:rPr>
          <w:rFonts w:cs="Arial"/>
          <w:szCs w:val="22"/>
        </w:rPr>
        <w:t xml:space="preserve"> in Schedule 20 of the Code</w:t>
      </w:r>
      <w:r w:rsidRPr="00195457">
        <w:rPr>
          <w:rFonts w:cs="Arial"/>
          <w:szCs w:val="22"/>
        </w:rPr>
        <w:t xml:space="preserve">. </w:t>
      </w:r>
    </w:p>
    <w:p w14:paraId="57AED95C" w14:textId="77777777" w:rsidR="00A5024A" w:rsidRDefault="00A5024A" w:rsidP="002C011A">
      <w:pPr>
        <w:rPr>
          <w:rFonts w:cs="Arial"/>
          <w:szCs w:val="22"/>
        </w:rPr>
      </w:pPr>
    </w:p>
    <w:p w14:paraId="03AD2B32" w14:textId="736D6AD6" w:rsidR="006C0B73" w:rsidRPr="009A49F4" w:rsidRDefault="004779E4" w:rsidP="002C011A">
      <w:pPr>
        <w:rPr>
          <w:rFonts w:cs="Arial"/>
          <w:szCs w:val="22"/>
        </w:rPr>
      </w:pPr>
      <w:r w:rsidRPr="009A49F4">
        <w:rPr>
          <w:rFonts w:cs="Arial"/>
          <w:szCs w:val="22"/>
        </w:rPr>
        <w:t xml:space="preserve">The acceptable daily intake (ADI) of 2.5 per kilogram body weight per day (mg/kg bw/day) is the relevant </w:t>
      </w:r>
      <w:r w:rsidR="00972F5B" w:rsidRPr="009A49F4">
        <w:rPr>
          <w:rFonts w:cs="Arial"/>
          <w:szCs w:val="22"/>
        </w:rPr>
        <w:t>h</w:t>
      </w:r>
      <w:r w:rsidRPr="009A49F4">
        <w:rPr>
          <w:rFonts w:cs="Arial"/>
          <w:szCs w:val="22"/>
        </w:rPr>
        <w:t xml:space="preserve">ealth </w:t>
      </w:r>
      <w:r w:rsidR="00972F5B" w:rsidRPr="009A49F4">
        <w:rPr>
          <w:rFonts w:cs="Arial"/>
          <w:szCs w:val="22"/>
        </w:rPr>
        <w:t>b</w:t>
      </w:r>
      <w:r w:rsidRPr="009A49F4">
        <w:rPr>
          <w:rFonts w:cs="Arial"/>
          <w:szCs w:val="22"/>
        </w:rPr>
        <w:t xml:space="preserve">ased </w:t>
      </w:r>
      <w:r w:rsidR="00972F5B" w:rsidRPr="009A49F4">
        <w:rPr>
          <w:rFonts w:cs="Arial"/>
          <w:szCs w:val="22"/>
        </w:rPr>
        <w:t>g</w:t>
      </w:r>
      <w:r w:rsidRPr="009A49F4">
        <w:rPr>
          <w:rFonts w:cs="Arial"/>
          <w:szCs w:val="22"/>
        </w:rPr>
        <w:t xml:space="preserve">uidance </w:t>
      </w:r>
      <w:r w:rsidR="00972F5B" w:rsidRPr="009A49F4">
        <w:rPr>
          <w:rFonts w:cs="Arial"/>
          <w:szCs w:val="22"/>
        </w:rPr>
        <w:t>v</w:t>
      </w:r>
      <w:r w:rsidRPr="009A49F4">
        <w:rPr>
          <w:rFonts w:cs="Arial"/>
          <w:szCs w:val="22"/>
        </w:rPr>
        <w:t xml:space="preserve">alue (HBGV) published in the APVMA </w:t>
      </w:r>
      <w:r w:rsidR="00C93B19" w:rsidRPr="009A49F4">
        <w:rPr>
          <w:rFonts w:cs="Arial"/>
          <w:szCs w:val="22"/>
        </w:rPr>
        <w:t>list</w:t>
      </w:r>
      <w:r w:rsidRPr="009A49F4">
        <w:rPr>
          <w:rFonts w:cs="Arial"/>
          <w:szCs w:val="22"/>
        </w:rPr>
        <w:t xml:space="preserve"> of the </w:t>
      </w:r>
      <w:r w:rsidRPr="009A49F4">
        <w:rPr>
          <w:rFonts w:cs="Arial"/>
          <w:i/>
          <w:szCs w:val="22"/>
        </w:rPr>
        <w:t>Acceptable Daily Intakes (ADI) for agricultural and veterinary chemicals used in food producing crops or animals</w:t>
      </w:r>
      <w:r w:rsidRPr="009A49F4">
        <w:rPr>
          <w:rFonts w:cs="Arial"/>
          <w:szCs w:val="22"/>
        </w:rPr>
        <w:t xml:space="preserve"> (Edition </w:t>
      </w:r>
      <w:r w:rsidR="00972F5B" w:rsidRPr="009A49F4">
        <w:rPr>
          <w:rFonts w:cs="Arial"/>
          <w:szCs w:val="22"/>
        </w:rPr>
        <w:t xml:space="preserve">2, </w:t>
      </w:r>
      <w:r w:rsidR="00A5024A">
        <w:rPr>
          <w:rFonts w:cs="Arial"/>
          <w:szCs w:val="22"/>
        </w:rPr>
        <w:t xml:space="preserve">2019). This </w:t>
      </w:r>
      <w:r w:rsidR="001D2907">
        <w:rPr>
          <w:rFonts w:cs="Arial"/>
          <w:szCs w:val="22"/>
        </w:rPr>
        <w:t xml:space="preserve">value </w:t>
      </w:r>
      <w:r w:rsidR="00A5024A">
        <w:rPr>
          <w:rFonts w:cs="Arial"/>
          <w:szCs w:val="22"/>
        </w:rPr>
        <w:t>was used for the NEDI calculation</w:t>
      </w:r>
      <w:r w:rsidR="00A5024A" w:rsidRPr="009A49F4">
        <w:rPr>
          <w:rFonts w:cs="Arial"/>
          <w:szCs w:val="22"/>
        </w:rPr>
        <w:t xml:space="preserve"> </w:t>
      </w:r>
      <w:r w:rsidR="006C0B73" w:rsidRPr="009A49F4">
        <w:rPr>
          <w:rFonts w:cs="Arial"/>
          <w:szCs w:val="22"/>
        </w:rPr>
        <w:t>in</w:t>
      </w:r>
      <w:bookmarkStart w:id="26" w:name="_Ref63661283"/>
      <w:r w:rsidR="006C0B73" w:rsidRPr="009A49F4">
        <w:rPr>
          <w:rFonts w:cs="Arial"/>
          <w:szCs w:val="22"/>
        </w:rPr>
        <w:t xml:space="preserve"> accordance with WHO Guidelines</w:t>
      </w:r>
      <w:r w:rsidR="006C0B73" w:rsidRPr="009A49F4">
        <w:rPr>
          <w:rFonts w:cs="Arial"/>
          <w:szCs w:val="22"/>
          <w:vertAlign w:val="superscript"/>
        </w:rPr>
        <w:footnoteReference w:id="3"/>
      </w:r>
      <w:bookmarkEnd w:id="26"/>
      <w:r w:rsidR="006C0B73" w:rsidRPr="009A49F4">
        <w:rPr>
          <w:rFonts w:cs="Arial"/>
          <w:szCs w:val="22"/>
        </w:rPr>
        <w:t xml:space="preserve"> and is a conservative estimate of dietary exposure to residues</w:t>
      </w:r>
      <w:r w:rsidR="001D2907">
        <w:rPr>
          <w:rFonts w:cs="Arial"/>
          <w:szCs w:val="22"/>
        </w:rPr>
        <w:t xml:space="preserve"> of the</w:t>
      </w:r>
      <w:r w:rsidR="006C0B73" w:rsidRPr="009A49F4">
        <w:rPr>
          <w:rFonts w:cs="Arial"/>
          <w:szCs w:val="22"/>
        </w:rPr>
        <w:t xml:space="preserve"> </w:t>
      </w:r>
      <w:r w:rsidR="001D2907" w:rsidRPr="009A49F4">
        <w:rPr>
          <w:rFonts w:cs="Arial"/>
          <w:szCs w:val="22"/>
        </w:rPr>
        <w:t xml:space="preserve">chemical </w:t>
      </w:r>
      <w:r w:rsidR="006C0B73" w:rsidRPr="009A49F4">
        <w:rPr>
          <w:rFonts w:cs="Arial"/>
          <w:szCs w:val="22"/>
        </w:rPr>
        <w:t xml:space="preserve">in food. </w:t>
      </w:r>
      <w:r w:rsidR="006C0B73" w:rsidRPr="009A49F4">
        <w:rPr>
          <w:rFonts w:cs="Arial"/>
          <w:szCs w:val="22"/>
          <w:lang w:val="en"/>
        </w:rPr>
        <w:t>The ADI for humans is considered to be a level of intake of a chemical that can be ingested daily over an entire lifetime without any appreciable risk to health. It is calculated by dividing the overall NOAEL from the animal studies by an uncertainty (safety) factor. The magnitude of the uncertainty factor is intended to account for uncertainties in extrapolating animal data to humans, variation between humans and completeness of the toxicological database.</w:t>
      </w:r>
    </w:p>
    <w:p w14:paraId="4CE8C30E" w14:textId="191BAB61" w:rsidR="006C0B73" w:rsidRPr="00195457" w:rsidRDefault="006C0B73" w:rsidP="002C011A">
      <w:pPr>
        <w:rPr>
          <w:rFonts w:cs="Arial"/>
        </w:rPr>
      </w:pPr>
    </w:p>
    <w:p w14:paraId="695D8361" w14:textId="427BAB28" w:rsidR="00747E16" w:rsidRPr="00195457" w:rsidRDefault="006C0B73" w:rsidP="002C011A">
      <w:pPr>
        <w:rPr>
          <w:rFonts w:cs="Arial"/>
          <w:szCs w:val="22"/>
        </w:rPr>
      </w:pPr>
      <w:r w:rsidRPr="002C011A">
        <w:rPr>
          <w:rFonts w:cs="Arial"/>
          <w:szCs w:val="22"/>
        </w:rPr>
        <w:t>The</w:t>
      </w:r>
      <w:r w:rsidRPr="00090366">
        <w:rPr>
          <w:rFonts w:cs="Arial"/>
          <w:szCs w:val="22"/>
          <w:lang w:val="en"/>
        </w:rPr>
        <w:t xml:space="preserve"> </w:t>
      </w:r>
      <w:r w:rsidR="00A23733" w:rsidRPr="00090366">
        <w:rPr>
          <w:rFonts w:cs="Arial"/>
          <w:szCs w:val="22"/>
          <w:lang w:val="en"/>
        </w:rPr>
        <w:t xml:space="preserve">establishment of an </w:t>
      </w:r>
      <w:r w:rsidR="00612CE7" w:rsidRPr="00090366">
        <w:rPr>
          <w:rFonts w:cs="Arial"/>
          <w:szCs w:val="22"/>
          <w:lang w:val="en"/>
        </w:rPr>
        <w:t>a</w:t>
      </w:r>
      <w:r w:rsidRPr="00090366">
        <w:rPr>
          <w:rFonts w:cs="Arial"/>
          <w:szCs w:val="22"/>
          <w:lang w:val="en"/>
        </w:rPr>
        <w:t xml:space="preserve">cute </w:t>
      </w:r>
      <w:r w:rsidR="00612CE7" w:rsidRPr="00090366">
        <w:rPr>
          <w:rFonts w:cs="Arial"/>
          <w:szCs w:val="22"/>
          <w:lang w:val="en"/>
        </w:rPr>
        <w:t>r</w:t>
      </w:r>
      <w:r w:rsidRPr="00090366">
        <w:rPr>
          <w:rFonts w:cs="Arial"/>
          <w:szCs w:val="22"/>
          <w:lang w:val="en"/>
        </w:rPr>
        <w:t xml:space="preserve">eference </w:t>
      </w:r>
      <w:r w:rsidR="00612CE7" w:rsidRPr="00090366">
        <w:rPr>
          <w:rFonts w:cs="Arial"/>
          <w:szCs w:val="22"/>
          <w:lang w:val="en"/>
        </w:rPr>
        <w:t>d</w:t>
      </w:r>
      <w:r w:rsidRPr="00090366">
        <w:rPr>
          <w:rFonts w:cs="Arial"/>
          <w:szCs w:val="22"/>
          <w:lang w:val="en"/>
        </w:rPr>
        <w:t>ose (</w:t>
      </w:r>
      <w:r w:rsidR="005378AE" w:rsidRPr="002C011A">
        <w:rPr>
          <w:rFonts w:cs="Arial"/>
          <w:szCs w:val="22"/>
        </w:rPr>
        <w:t>ARfD</w:t>
      </w:r>
      <w:r w:rsidRPr="002C011A">
        <w:rPr>
          <w:rFonts w:cs="Arial"/>
          <w:szCs w:val="22"/>
        </w:rPr>
        <w:t>)</w:t>
      </w:r>
      <w:r w:rsidR="005378AE" w:rsidRPr="002C011A">
        <w:rPr>
          <w:rFonts w:cs="Arial"/>
          <w:szCs w:val="22"/>
        </w:rPr>
        <w:t xml:space="preserve"> </w:t>
      </w:r>
      <w:r w:rsidR="00C93B19" w:rsidRPr="002C011A">
        <w:rPr>
          <w:rFonts w:cs="Arial"/>
          <w:szCs w:val="22"/>
        </w:rPr>
        <w:t>for</w:t>
      </w:r>
      <w:r w:rsidR="00C93B19">
        <w:rPr>
          <w:rFonts w:cs="Arial"/>
          <w:szCs w:val="22"/>
        </w:rPr>
        <w:t xml:space="preserve"> i</w:t>
      </w:r>
      <w:r w:rsidR="00747E16" w:rsidRPr="00195457">
        <w:rPr>
          <w:rFonts w:cs="Arial"/>
          <w:szCs w:val="22"/>
        </w:rPr>
        <w:t xml:space="preserve">mazapyr </w:t>
      </w:r>
      <w:r w:rsidR="00A23733">
        <w:rPr>
          <w:rFonts w:cs="Arial"/>
          <w:szCs w:val="22"/>
        </w:rPr>
        <w:t>was</w:t>
      </w:r>
      <w:r w:rsidR="00A23733" w:rsidRPr="00195457">
        <w:rPr>
          <w:rFonts w:cs="Arial"/>
          <w:szCs w:val="22"/>
        </w:rPr>
        <w:t xml:space="preserve"> </w:t>
      </w:r>
      <w:r w:rsidR="00747E16" w:rsidRPr="00195457">
        <w:rPr>
          <w:rFonts w:cs="Arial"/>
          <w:szCs w:val="22"/>
        </w:rPr>
        <w:t xml:space="preserve">considered unnecessary by </w:t>
      </w:r>
      <w:r w:rsidR="00612CE7">
        <w:rPr>
          <w:rFonts w:cs="Arial"/>
          <w:szCs w:val="22"/>
        </w:rPr>
        <w:t xml:space="preserve">the </w:t>
      </w:r>
      <w:r w:rsidR="00747E16" w:rsidRPr="00195457">
        <w:rPr>
          <w:rFonts w:cs="Arial"/>
          <w:szCs w:val="22"/>
        </w:rPr>
        <w:t xml:space="preserve">APVMA and the JMPR </w:t>
      </w:r>
      <w:r w:rsidR="005378AE" w:rsidRPr="00195457">
        <w:rPr>
          <w:rFonts w:cs="Arial"/>
          <w:szCs w:val="22"/>
        </w:rPr>
        <w:t>due to its low oral toxicity and the absence of any developmental toxicity after a single dose</w:t>
      </w:r>
      <w:r w:rsidR="00A338A7">
        <w:rPr>
          <w:rFonts w:cs="Arial"/>
          <w:szCs w:val="22"/>
        </w:rPr>
        <w:t>.</w:t>
      </w:r>
      <w:r w:rsidR="005378AE" w:rsidRPr="00195457">
        <w:rPr>
          <w:rFonts w:cs="Arial"/>
          <w:szCs w:val="22"/>
        </w:rPr>
        <w:t xml:space="preserve"> </w:t>
      </w:r>
    </w:p>
    <w:p w14:paraId="55FA7952" w14:textId="77777777" w:rsidR="004779E4" w:rsidRPr="00195457" w:rsidRDefault="004779E4" w:rsidP="002C011A">
      <w:pPr>
        <w:pStyle w:val="BodyText"/>
        <w:ind w:right="-1"/>
        <w:rPr>
          <w:rFonts w:ascii="Arial" w:hAnsi="Arial" w:cs="Arial"/>
          <w:b w:val="0"/>
          <w:sz w:val="22"/>
          <w:szCs w:val="22"/>
        </w:rPr>
      </w:pPr>
    </w:p>
    <w:p w14:paraId="232C42B5" w14:textId="77777777" w:rsidR="004779E4" w:rsidRPr="00195457" w:rsidRDefault="004779E4" w:rsidP="002C011A">
      <w:pPr>
        <w:rPr>
          <w:rFonts w:cs="Arial"/>
        </w:rPr>
      </w:pPr>
    </w:p>
    <w:p w14:paraId="4FFE8B71" w14:textId="2236356E" w:rsidR="004F035B" w:rsidRDefault="000D254C" w:rsidP="002C011A">
      <w:pPr>
        <w:pStyle w:val="FSCh1Chap"/>
        <w:ind w:left="0" w:firstLine="0"/>
      </w:pPr>
      <w:bookmarkStart w:id="27" w:name="_Toc19629410"/>
      <w:bookmarkEnd w:id="6"/>
      <w:bookmarkEnd w:id="7"/>
      <w:bookmarkEnd w:id="8"/>
      <w:bookmarkEnd w:id="9"/>
      <w:bookmarkEnd w:id="10"/>
      <w:bookmarkEnd w:id="11"/>
      <w:bookmarkEnd w:id="12"/>
      <w:bookmarkEnd w:id="13"/>
      <w:bookmarkEnd w:id="14"/>
      <w:bookmarkEnd w:id="15"/>
      <w:r w:rsidRPr="001D3CB6">
        <w:rPr>
          <w:sz w:val="36"/>
          <w:szCs w:val="36"/>
        </w:rPr>
        <w:t>3</w:t>
      </w:r>
      <w:r w:rsidR="001D3CB6">
        <w:tab/>
      </w:r>
      <w:r w:rsidR="00DA167B">
        <w:tab/>
      </w:r>
      <w:r w:rsidR="00DA167B" w:rsidRPr="001D3CB6">
        <w:rPr>
          <w:sz w:val="36"/>
          <w:szCs w:val="36"/>
        </w:rPr>
        <w:t>Results of the assessment</w:t>
      </w:r>
      <w:bookmarkEnd w:id="27"/>
    </w:p>
    <w:p w14:paraId="3F1A1019" w14:textId="60EEEAE6" w:rsidR="001D3CB6" w:rsidRPr="004F0A29" w:rsidRDefault="00DA167B" w:rsidP="002C011A">
      <w:pPr>
        <w:rPr>
          <w:rFonts w:cs="Arial"/>
        </w:rPr>
      </w:pPr>
      <w:r w:rsidRPr="004F0A29">
        <w:t>The dietary exposure estimate f</w:t>
      </w:r>
      <w:r w:rsidR="00523531" w:rsidRPr="004F0A29">
        <w:t>or the</w:t>
      </w:r>
      <w:r w:rsidR="00CD65C6" w:rsidRPr="004F0A29">
        <w:t xml:space="preserve"> proposed</w:t>
      </w:r>
      <w:r w:rsidR="00523531" w:rsidRPr="004F0A29">
        <w:t xml:space="preserve"> increase in the MRL for i</w:t>
      </w:r>
      <w:r w:rsidRPr="004F0A29">
        <w:t>mazapyr in barley</w:t>
      </w:r>
      <w:r w:rsidR="004F035B" w:rsidRPr="004F0A29">
        <w:t xml:space="preserve"> </w:t>
      </w:r>
      <w:r w:rsidRPr="004F0A29">
        <w:t>from 0.05 to 0.7 mg/kg show</w:t>
      </w:r>
      <w:r w:rsidR="002C011A" w:rsidRPr="004F0A29">
        <w:t>ed</w:t>
      </w:r>
      <w:r w:rsidRPr="004F0A29">
        <w:t xml:space="preserve"> the NEDI </w:t>
      </w:r>
      <w:r w:rsidR="002C011A" w:rsidRPr="004F0A29">
        <w:t xml:space="preserve">to be </w:t>
      </w:r>
      <w:r w:rsidRPr="004F0A29">
        <w:t>below the ADI</w:t>
      </w:r>
      <w:r w:rsidR="00634BF8" w:rsidRPr="004F0A29">
        <w:t xml:space="preserve"> for the chemical</w:t>
      </w:r>
      <w:r w:rsidR="00BB1E83" w:rsidRPr="004F0A29">
        <w:t xml:space="preserve">. </w:t>
      </w:r>
      <w:r w:rsidR="00523531" w:rsidRPr="004F0A29">
        <w:t>Summary i</w:t>
      </w:r>
      <w:r w:rsidR="00634BF8" w:rsidRPr="004F0A29">
        <w:t>nformation on t</w:t>
      </w:r>
      <w:r w:rsidR="00BB1E83" w:rsidRPr="004F0A29">
        <w:t xml:space="preserve">he DEA </w:t>
      </w:r>
      <w:r w:rsidR="00344E75" w:rsidRPr="004F0A29">
        <w:t xml:space="preserve">is </w:t>
      </w:r>
      <w:r w:rsidR="00523531" w:rsidRPr="004F0A29">
        <w:t>shown</w:t>
      </w:r>
      <w:r w:rsidR="00344E75" w:rsidRPr="004F0A29">
        <w:t xml:space="preserve"> </w:t>
      </w:r>
      <w:r w:rsidR="00523531" w:rsidRPr="004F0A29">
        <w:t>in</w:t>
      </w:r>
      <w:r w:rsidR="00BB1E83" w:rsidRPr="004F0A29">
        <w:t xml:space="preserve"> Table 1</w:t>
      </w:r>
      <w:r w:rsidR="00CD65C6" w:rsidRPr="004F0A29">
        <w:t xml:space="preserve"> below</w:t>
      </w:r>
      <w:r w:rsidR="00BB1E83" w:rsidRPr="004F0A29">
        <w:t>.</w:t>
      </w:r>
      <w:r w:rsidR="001D3CB6" w:rsidRPr="004F0A29">
        <w:rPr>
          <w:rFonts w:cs="Arial"/>
        </w:rPr>
        <w:t xml:space="preserve"> </w:t>
      </w:r>
    </w:p>
    <w:p w14:paraId="42072346" w14:textId="77777777" w:rsidR="001D3CB6" w:rsidRDefault="001D3CB6" w:rsidP="002C011A">
      <w:pPr>
        <w:rPr>
          <w:b/>
          <w:sz w:val="20"/>
          <w:szCs w:val="20"/>
          <w:lang w:bidi="ar-SA"/>
        </w:rPr>
      </w:pPr>
    </w:p>
    <w:p w14:paraId="0E2EA3C5" w14:textId="48D80BC6" w:rsidR="00BB1E83" w:rsidRPr="002D519A" w:rsidRDefault="00BB1E83" w:rsidP="002C011A">
      <w:pPr>
        <w:rPr>
          <w:b/>
          <w:lang w:eastAsia="en-AU" w:bidi="ar-SA"/>
        </w:rPr>
      </w:pPr>
      <w:r w:rsidRPr="002D519A">
        <w:rPr>
          <w:b/>
          <w:lang w:eastAsia="en-AU" w:bidi="ar-SA"/>
        </w:rPr>
        <w:t xml:space="preserve">Table 1: Dietary exposure estimate for proposed increase in MRL for Imazapyr in barley – Application A1181 </w:t>
      </w:r>
    </w:p>
    <w:p w14:paraId="271C05C6" w14:textId="77777777" w:rsidR="00BB1E83" w:rsidRPr="002D519A" w:rsidRDefault="00BB1E83" w:rsidP="002C011A">
      <w:pPr>
        <w:rPr>
          <w:lang w:eastAsia="en-AU" w:bidi="ar-SA"/>
        </w:rPr>
      </w:pPr>
    </w:p>
    <w:tbl>
      <w:tblPr>
        <w:tblStyle w:val="TableGrid"/>
        <w:tblW w:w="8541" w:type="dxa"/>
        <w:tblInd w:w="697" w:type="dxa"/>
        <w:tblLook w:val="04A0" w:firstRow="1" w:lastRow="0" w:firstColumn="1" w:lastColumn="0" w:noHBand="0" w:noVBand="1"/>
      </w:tblPr>
      <w:tblGrid>
        <w:gridCol w:w="1170"/>
        <w:gridCol w:w="1032"/>
        <w:gridCol w:w="1158"/>
        <w:gridCol w:w="1201"/>
        <w:gridCol w:w="1134"/>
        <w:gridCol w:w="1464"/>
        <w:gridCol w:w="1382"/>
      </w:tblGrid>
      <w:tr w:rsidR="002D519A" w:rsidRPr="002D519A" w14:paraId="0E309B3B" w14:textId="74F103A1" w:rsidTr="009D693D">
        <w:trPr>
          <w:trHeight w:val="1412"/>
        </w:trPr>
        <w:tc>
          <w:tcPr>
            <w:tcW w:w="1211" w:type="dxa"/>
          </w:tcPr>
          <w:p w14:paraId="4C4D6006" w14:textId="07AA04A0" w:rsidR="0021714B" w:rsidRPr="002D519A" w:rsidRDefault="0021714B" w:rsidP="002C011A">
            <w:pPr>
              <w:rPr>
                <w:lang w:eastAsia="en-AU" w:bidi="ar-SA"/>
              </w:rPr>
            </w:pPr>
            <w:r w:rsidRPr="002D519A">
              <w:rPr>
                <w:lang w:eastAsia="en-AU" w:bidi="ar-SA"/>
              </w:rPr>
              <w:t>Current MRL in Schedule 20 (mg/kg)</w:t>
            </w:r>
          </w:p>
        </w:tc>
        <w:tc>
          <w:tcPr>
            <w:tcW w:w="1109" w:type="dxa"/>
          </w:tcPr>
          <w:p w14:paraId="3B2B64E8" w14:textId="77777777" w:rsidR="00523531" w:rsidRDefault="0021714B" w:rsidP="002C011A">
            <w:pPr>
              <w:rPr>
                <w:lang w:eastAsia="en-AU" w:bidi="ar-SA"/>
              </w:rPr>
            </w:pPr>
            <w:r w:rsidRPr="002D519A">
              <w:rPr>
                <w:lang w:eastAsia="en-AU" w:bidi="ar-SA"/>
              </w:rPr>
              <w:t xml:space="preserve">Current Codex MRL </w:t>
            </w:r>
          </w:p>
          <w:p w14:paraId="08D37E8F" w14:textId="37AE7781" w:rsidR="0021714B" w:rsidRPr="002D519A" w:rsidRDefault="0021714B" w:rsidP="002C011A">
            <w:pPr>
              <w:rPr>
                <w:lang w:eastAsia="en-AU" w:bidi="ar-SA"/>
              </w:rPr>
            </w:pPr>
            <w:r w:rsidRPr="002D519A">
              <w:rPr>
                <w:lang w:eastAsia="en-AU" w:bidi="ar-SA"/>
              </w:rPr>
              <w:t>(mg/kg)</w:t>
            </w:r>
          </w:p>
        </w:tc>
        <w:tc>
          <w:tcPr>
            <w:tcW w:w="1007" w:type="dxa"/>
          </w:tcPr>
          <w:p w14:paraId="4F6991A2" w14:textId="6CEADAA9" w:rsidR="0021714B" w:rsidRPr="002D519A" w:rsidRDefault="0021714B" w:rsidP="002C011A">
            <w:pPr>
              <w:rPr>
                <w:lang w:eastAsia="en-AU" w:bidi="ar-SA"/>
              </w:rPr>
            </w:pPr>
            <w:r w:rsidRPr="002D519A">
              <w:rPr>
                <w:lang w:eastAsia="en-AU" w:bidi="ar-SA"/>
              </w:rPr>
              <w:t>Proposed MRL (mg/kg)</w:t>
            </w:r>
          </w:p>
        </w:tc>
        <w:tc>
          <w:tcPr>
            <w:tcW w:w="1208" w:type="dxa"/>
          </w:tcPr>
          <w:p w14:paraId="2004CA52" w14:textId="4F7F2FA8" w:rsidR="0021714B" w:rsidRPr="002D519A" w:rsidRDefault="0021714B" w:rsidP="002C011A">
            <w:pPr>
              <w:rPr>
                <w:lang w:eastAsia="en-AU" w:bidi="ar-SA"/>
              </w:rPr>
            </w:pPr>
            <w:r w:rsidRPr="002D519A">
              <w:rPr>
                <w:lang w:eastAsia="en-AU" w:bidi="ar-SA"/>
              </w:rPr>
              <w:t>Origin of requested MRL</w:t>
            </w:r>
          </w:p>
        </w:tc>
        <w:tc>
          <w:tcPr>
            <w:tcW w:w="1107" w:type="dxa"/>
          </w:tcPr>
          <w:p w14:paraId="72D276CA" w14:textId="5B9F4CFC" w:rsidR="0021714B" w:rsidRPr="002D519A" w:rsidRDefault="0021714B" w:rsidP="002C011A">
            <w:pPr>
              <w:rPr>
                <w:lang w:eastAsia="en-AU" w:bidi="ar-SA"/>
              </w:rPr>
            </w:pPr>
            <w:r w:rsidRPr="002D519A">
              <w:rPr>
                <w:lang w:eastAsia="en-AU" w:bidi="ar-SA"/>
              </w:rPr>
              <w:t>MRL change in Schedule 20</w:t>
            </w:r>
          </w:p>
        </w:tc>
        <w:tc>
          <w:tcPr>
            <w:tcW w:w="1309" w:type="dxa"/>
          </w:tcPr>
          <w:p w14:paraId="2F5C9799" w14:textId="76DEF812" w:rsidR="0021714B" w:rsidRPr="002D519A" w:rsidRDefault="0021714B" w:rsidP="002C011A">
            <w:pPr>
              <w:rPr>
                <w:lang w:eastAsia="en-AU" w:bidi="ar-SA"/>
              </w:rPr>
            </w:pPr>
            <w:r w:rsidRPr="002D519A">
              <w:rPr>
                <w:lang w:eastAsia="en-AU" w:bidi="ar-SA"/>
              </w:rPr>
              <w:t>Australian food consumption amount (g/kg bw/day)</w:t>
            </w:r>
          </w:p>
        </w:tc>
        <w:tc>
          <w:tcPr>
            <w:tcW w:w="1590" w:type="dxa"/>
          </w:tcPr>
          <w:p w14:paraId="5D252C90" w14:textId="460BF05F" w:rsidR="0021714B" w:rsidRPr="002D519A" w:rsidRDefault="0021714B" w:rsidP="002C011A">
            <w:pPr>
              <w:rPr>
                <w:lang w:eastAsia="en-AU" w:bidi="ar-SA"/>
              </w:rPr>
            </w:pPr>
            <w:r w:rsidRPr="002D519A">
              <w:rPr>
                <w:lang w:eastAsia="en-AU" w:bidi="ar-SA"/>
              </w:rPr>
              <w:t>Estimated dietary exposure as percent of ADI</w:t>
            </w:r>
          </w:p>
        </w:tc>
      </w:tr>
      <w:tr w:rsidR="002D519A" w:rsidRPr="002D519A" w14:paraId="5FE62620" w14:textId="69F1B2C8" w:rsidTr="009D693D">
        <w:trPr>
          <w:trHeight w:val="267"/>
        </w:trPr>
        <w:tc>
          <w:tcPr>
            <w:tcW w:w="1211" w:type="dxa"/>
          </w:tcPr>
          <w:p w14:paraId="521A1A2B" w14:textId="5FEBDF39" w:rsidR="0021714B" w:rsidRPr="002D519A" w:rsidRDefault="003D6946" w:rsidP="002C011A">
            <w:pPr>
              <w:rPr>
                <w:lang w:eastAsia="en-AU" w:bidi="ar-SA"/>
              </w:rPr>
            </w:pPr>
            <w:r w:rsidRPr="002D519A">
              <w:rPr>
                <w:lang w:eastAsia="en-AU" w:bidi="ar-SA"/>
              </w:rPr>
              <w:t>*</w:t>
            </w:r>
            <w:r w:rsidR="0021714B" w:rsidRPr="002D519A">
              <w:rPr>
                <w:lang w:eastAsia="en-AU" w:bidi="ar-SA"/>
              </w:rPr>
              <w:t>0.05</w:t>
            </w:r>
          </w:p>
        </w:tc>
        <w:tc>
          <w:tcPr>
            <w:tcW w:w="1109" w:type="dxa"/>
          </w:tcPr>
          <w:p w14:paraId="5BA22B20" w14:textId="0D4FBD2A" w:rsidR="0021714B" w:rsidRPr="002D519A" w:rsidRDefault="0021714B" w:rsidP="002C011A">
            <w:pPr>
              <w:rPr>
                <w:lang w:eastAsia="en-AU" w:bidi="ar-SA"/>
              </w:rPr>
            </w:pPr>
            <w:r w:rsidRPr="002D519A">
              <w:rPr>
                <w:lang w:eastAsia="en-AU" w:bidi="ar-SA"/>
              </w:rPr>
              <w:t>0.7</w:t>
            </w:r>
          </w:p>
        </w:tc>
        <w:tc>
          <w:tcPr>
            <w:tcW w:w="1007" w:type="dxa"/>
          </w:tcPr>
          <w:p w14:paraId="4E6AB451" w14:textId="440A566B" w:rsidR="0021714B" w:rsidRPr="002D519A" w:rsidRDefault="0021714B" w:rsidP="002C011A">
            <w:pPr>
              <w:rPr>
                <w:lang w:eastAsia="en-AU" w:bidi="ar-SA"/>
              </w:rPr>
            </w:pPr>
            <w:r w:rsidRPr="002D519A">
              <w:rPr>
                <w:lang w:eastAsia="en-AU" w:bidi="ar-SA"/>
              </w:rPr>
              <w:t>0.7</w:t>
            </w:r>
          </w:p>
        </w:tc>
        <w:tc>
          <w:tcPr>
            <w:tcW w:w="1208" w:type="dxa"/>
          </w:tcPr>
          <w:p w14:paraId="6E947950" w14:textId="23110381" w:rsidR="0021714B" w:rsidRPr="002D519A" w:rsidRDefault="0021714B" w:rsidP="002C011A">
            <w:pPr>
              <w:rPr>
                <w:lang w:eastAsia="en-AU" w:bidi="ar-SA"/>
              </w:rPr>
            </w:pPr>
            <w:r w:rsidRPr="002D519A">
              <w:rPr>
                <w:lang w:eastAsia="en-AU" w:bidi="ar-SA"/>
              </w:rPr>
              <w:t xml:space="preserve">APVMA </w:t>
            </w:r>
          </w:p>
        </w:tc>
        <w:tc>
          <w:tcPr>
            <w:tcW w:w="1107" w:type="dxa"/>
          </w:tcPr>
          <w:p w14:paraId="50FEF5DC" w14:textId="3118166E" w:rsidR="0021714B" w:rsidRPr="002D519A" w:rsidRDefault="0021714B" w:rsidP="002C011A">
            <w:pPr>
              <w:rPr>
                <w:lang w:eastAsia="en-AU" w:bidi="ar-SA"/>
              </w:rPr>
            </w:pPr>
            <w:r w:rsidRPr="002D519A">
              <w:rPr>
                <w:lang w:eastAsia="en-AU" w:bidi="ar-SA"/>
              </w:rPr>
              <w:t>Increase</w:t>
            </w:r>
          </w:p>
        </w:tc>
        <w:tc>
          <w:tcPr>
            <w:tcW w:w="1309" w:type="dxa"/>
          </w:tcPr>
          <w:p w14:paraId="030E8A8E" w14:textId="79A4C726" w:rsidR="0021714B" w:rsidRPr="002D519A" w:rsidRDefault="0021714B" w:rsidP="002C011A">
            <w:pPr>
              <w:rPr>
                <w:lang w:eastAsia="en-AU" w:bidi="ar-SA"/>
              </w:rPr>
            </w:pPr>
            <w:r w:rsidRPr="002D519A">
              <w:rPr>
                <w:lang w:eastAsia="en-AU" w:bidi="ar-SA"/>
              </w:rPr>
              <w:t>0.172</w:t>
            </w:r>
          </w:p>
        </w:tc>
        <w:tc>
          <w:tcPr>
            <w:tcW w:w="1590" w:type="dxa"/>
          </w:tcPr>
          <w:p w14:paraId="78648748" w14:textId="361E8E6E" w:rsidR="0021714B" w:rsidRPr="002D519A" w:rsidRDefault="0021714B" w:rsidP="002C011A">
            <w:pPr>
              <w:rPr>
                <w:lang w:eastAsia="en-AU" w:bidi="ar-SA"/>
              </w:rPr>
            </w:pPr>
            <w:r w:rsidRPr="002D519A">
              <w:rPr>
                <w:lang w:eastAsia="en-AU" w:bidi="ar-SA"/>
              </w:rPr>
              <w:t>&lt;1</w:t>
            </w:r>
          </w:p>
        </w:tc>
      </w:tr>
    </w:tbl>
    <w:p w14:paraId="088BABF0" w14:textId="77777777" w:rsidR="004A6ED0" w:rsidRPr="002D519A" w:rsidRDefault="004A6ED0" w:rsidP="002C011A">
      <w:pPr>
        <w:rPr>
          <w:rFonts w:cs="Arial"/>
          <w:sz w:val="18"/>
          <w:szCs w:val="18"/>
        </w:rPr>
      </w:pPr>
    </w:p>
    <w:p w14:paraId="701A8A0D" w14:textId="7597A06D" w:rsidR="001D3CB6" w:rsidRPr="00801084" w:rsidRDefault="00641645" w:rsidP="002C011A">
      <w:pPr>
        <w:rPr>
          <w:rFonts w:cs="Arial"/>
          <w:szCs w:val="22"/>
        </w:rPr>
      </w:pPr>
      <w:r w:rsidRPr="002D519A">
        <w:rPr>
          <w:rFonts w:cs="Arial"/>
          <w:szCs w:val="22"/>
          <w:lang w:val="en-AU" w:bidi="ar-SA"/>
        </w:rPr>
        <w:t xml:space="preserve">The NEDI represents an estimate of chronic dietary exposure from the whole diet for the general </w:t>
      </w:r>
      <w:r w:rsidR="00801084">
        <w:rPr>
          <w:rFonts w:cs="Arial"/>
          <w:szCs w:val="22"/>
          <w:lang w:val="en-AU" w:bidi="ar-SA"/>
        </w:rPr>
        <w:t>population aged 2 years and above and is considered acceptable.</w:t>
      </w:r>
      <w:r w:rsidRPr="002D519A">
        <w:rPr>
          <w:rFonts w:cs="Arial"/>
          <w:szCs w:val="22"/>
          <w:lang w:val="en-AU" w:bidi="ar-SA"/>
        </w:rPr>
        <w:t xml:space="preserve"> </w:t>
      </w:r>
      <w:r w:rsidR="009D693D">
        <w:rPr>
          <w:rFonts w:cs="Arial"/>
          <w:szCs w:val="22"/>
        </w:rPr>
        <w:t xml:space="preserve">The ARfD </w:t>
      </w:r>
      <w:r w:rsidR="00801084">
        <w:rPr>
          <w:rFonts w:cs="Arial"/>
          <w:szCs w:val="22"/>
        </w:rPr>
        <w:t>is</w:t>
      </w:r>
      <w:r w:rsidR="009D693D">
        <w:rPr>
          <w:rFonts w:cs="Arial"/>
          <w:szCs w:val="22"/>
        </w:rPr>
        <w:t xml:space="preserve"> not estimated</w:t>
      </w:r>
      <w:r w:rsidR="00801084">
        <w:rPr>
          <w:rFonts w:cs="Arial"/>
          <w:szCs w:val="22"/>
        </w:rPr>
        <w:t xml:space="preserve"> because it </w:t>
      </w:r>
      <w:r w:rsidR="00027B2F" w:rsidRPr="002D519A">
        <w:rPr>
          <w:rFonts w:cs="Arial"/>
          <w:szCs w:val="22"/>
        </w:rPr>
        <w:t>is considered unnec</w:t>
      </w:r>
      <w:r w:rsidR="0021714B" w:rsidRPr="002D519A">
        <w:rPr>
          <w:rFonts w:cs="Arial"/>
          <w:szCs w:val="22"/>
        </w:rPr>
        <w:t>es</w:t>
      </w:r>
      <w:r w:rsidR="00027B2F" w:rsidRPr="002D519A">
        <w:rPr>
          <w:rFonts w:cs="Arial"/>
          <w:szCs w:val="22"/>
        </w:rPr>
        <w:t xml:space="preserve">sary </w:t>
      </w:r>
      <w:r w:rsidR="00801084">
        <w:rPr>
          <w:rFonts w:cs="Arial"/>
          <w:szCs w:val="22"/>
        </w:rPr>
        <w:t>due to</w:t>
      </w:r>
      <w:r w:rsidR="00027B2F" w:rsidRPr="002D519A">
        <w:rPr>
          <w:rFonts w:cs="Arial"/>
          <w:szCs w:val="22"/>
        </w:rPr>
        <w:t xml:space="preserve"> the low toxicity of the chemical. </w:t>
      </w:r>
    </w:p>
    <w:p w14:paraId="005C117D" w14:textId="3AD0C59A" w:rsidR="001D3CB6" w:rsidRPr="002D519A" w:rsidRDefault="001D3CB6" w:rsidP="002C011A">
      <w:pPr>
        <w:rPr>
          <w:rFonts w:cs="Arial"/>
          <w:sz w:val="18"/>
          <w:szCs w:val="18"/>
        </w:rPr>
      </w:pPr>
    </w:p>
    <w:p w14:paraId="1822ECE6" w14:textId="77777777" w:rsidR="00641645" w:rsidRPr="002D519A" w:rsidRDefault="00641645" w:rsidP="002C011A">
      <w:pPr>
        <w:rPr>
          <w:lang w:eastAsia="en-AU" w:bidi="ar-SA"/>
        </w:rPr>
      </w:pPr>
    </w:p>
    <w:p w14:paraId="0EE6E19C" w14:textId="2EB1B7A0" w:rsidR="000E4FC2" w:rsidRDefault="00FC22EE" w:rsidP="002C011A">
      <w:pPr>
        <w:pStyle w:val="FSCh1Chap"/>
        <w:ind w:left="0" w:firstLine="0"/>
        <w:rPr>
          <w:sz w:val="36"/>
          <w:szCs w:val="36"/>
        </w:rPr>
      </w:pPr>
      <w:bookmarkStart w:id="28" w:name="_Toc19629411"/>
      <w:r w:rsidRPr="001D3CB6">
        <w:rPr>
          <w:sz w:val="36"/>
          <w:szCs w:val="36"/>
        </w:rPr>
        <w:t xml:space="preserve">4 </w:t>
      </w:r>
      <w:r w:rsidRPr="001D3CB6">
        <w:rPr>
          <w:sz w:val="36"/>
          <w:szCs w:val="36"/>
        </w:rPr>
        <w:tab/>
      </w:r>
      <w:r w:rsidRPr="001D3CB6">
        <w:rPr>
          <w:sz w:val="36"/>
          <w:szCs w:val="36"/>
        </w:rPr>
        <w:tab/>
        <w:t>Conclusion</w:t>
      </w:r>
      <w:bookmarkEnd w:id="28"/>
    </w:p>
    <w:p w14:paraId="2458F7E1" w14:textId="47096045" w:rsidR="008726C1" w:rsidRDefault="008726C1" w:rsidP="002C011A">
      <w:pPr>
        <w:rPr>
          <w:rFonts w:cs="Arial"/>
          <w:szCs w:val="22"/>
        </w:rPr>
      </w:pPr>
      <w:r>
        <w:rPr>
          <w:rFonts w:cs="Arial"/>
          <w:szCs w:val="22"/>
        </w:rPr>
        <w:t xml:space="preserve">The NEDI for imazapyr taking into account all currently permitted </w:t>
      </w:r>
      <w:r w:rsidR="00403DAA">
        <w:rPr>
          <w:rFonts w:cs="Arial"/>
          <w:szCs w:val="22"/>
        </w:rPr>
        <w:t xml:space="preserve">uses </w:t>
      </w:r>
      <w:r>
        <w:rPr>
          <w:rFonts w:cs="Arial"/>
          <w:szCs w:val="22"/>
        </w:rPr>
        <w:t xml:space="preserve">and the proposed increased MRL is less than 1% of the ADI.  </w:t>
      </w:r>
    </w:p>
    <w:p w14:paraId="64E16681" w14:textId="77777777" w:rsidR="008726C1" w:rsidRDefault="008726C1" w:rsidP="002C011A">
      <w:pPr>
        <w:rPr>
          <w:rFonts w:cs="Arial"/>
          <w:szCs w:val="22"/>
        </w:rPr>
      </w:pPr>
    </w:p>
    <w:p w14:paraId="5BC18227" w14:textId="7F6E9F0E" w:rsidR="008B45CF" w:rsidRPr="008B45CF" w:rsidRDefault="00A23733" w:rsidP="002C011A">
      <w:pPr>
        <w:rPr>
          <w:lang w:eastAsia="en-AU" w:bidi="ar-SA"/>
        </w:rPr>
      </w:pPr>
      <w:r>
        <w:rPr>
          <w:rFonts w:cs="Arial"/>
          <w:szCs w:val="22"/>
        </w:rPr>
        <w:t xml:space="preserve">Based </w:t>
      </w:r>
      <w:r w:rsidR="00801084">
        <w:rPr>
          <w:rFonts w:cs="Arial"/>
          <w:szCs w:val="22"/>
        </w:rPr>
        <w:t xml:space="preserve">on the risk assessment and dietary exposure estimate made </w:t>
      </w:r>
      <w:r w:rsidR="008726C1">
        <w:rPr>
          <w:rFonts w:cs="Arial"/>
          <w:szCs w:val="22"/>
        </w:rPr>
        <w:t>for this application</w:t>
      </w:r>
      <w:r w:rsidR="00801084">
        <w:rPr>
          <w:rFonts w:cs="Arial"/>
          <w:szCs w:val="22"/>
        </w:rPr>
        <w:t xml:space="preserve">, </w:t>
      </w:r>
      <w:r w:rsidR="00801084" w:rsidRPr="002D519A">
        <w:rPr>
          <w:rFonts w:cs="Arial"/>
          <w:szCs w:val="22"/>
        </w:rPr>
        <w:t>t</w:t>
      </w:r>
      <w:r w:rsidR="00801084">
        <w:rPr>
          <w:rFonts w:cs="Arial"/>
          <w:szCs w:val="22"/>
        </w:rPr>
        <w:t xml:space="preserve">he </w:t>
      </w:r>
      <w:r w:rsidR="008726C1">
        <w:rPr>
          <w:rFonts w:cs="Arial"/>
          <w:szCs w:val="22"/>
        </w:rPr>
        <w:t xml:space="preserve">proposed </w:t>
      </w:r>
      <w:r w:rsidR="008B45CF" w:rsidRPr="008B45CF">
        <w:rPr>
          <w:noProof/>
        </w:rPr>
        <w:t>increase</w:t>
      </w:r>
      <w:r w:rsidR="00801084">
        <w:rPr>
          <w:noProof/>
          <w:szCs w:val="21"/>
        </w:rPr>
        <w:t xml:space="preserve"> to the </w:t>
      </w:r>
      <w:r w:rsidR="00451166">
        <w:rPr>
          <w:noProof/>
          <w:szCs w:val="21"/>
        </w:rPr>
        <w:t>MRL</w:t>
      </w:r>
      <w:r w:rsidR="00801084">
        <w:rPr>
          <w:noProof/>
          <w:szCs w:val="21"/>
        </w:rPr>
        <w:t xml:space="preserve"> for</w:t>
      </w:r>
      <w:r w:rsidR="00451166">
        <w:rPr>
          <w:noProof/>
          <w:szCs w:val="21"/>
        </w:rPr>
        <w:t xml:space="preserve"> </w:t>
      </w:r>
      <w:r w:rsidR="00801084">
        <w:rPr>
          <w:noProof/>
          <w:szCs w:val="21"/>
        </w:rPr>
        <w:t>i</w:t>
      </w:r>
      <w:r w:rsidR="00801084" w:rsidRPr="008B45CF">
        <w:rPr>
          <w:noProof/>
          <w:szCs w:val="21"/>
        </w:rPr>
        <w:t xml:space="preserve">mazapyr </w:t>
      </w:r>
      <w:r w:rsidR="008B45CF" w:rsidRPr="008B45CF">
        <w:rPr>
          <w:noProof/>
          <w:szCs w:val="21"/>
        </w:rPr>
        <w:t xml:space="preserve">in barley </w:t>
      </w:r>
      <w:r w:rsidR="00801084">
        <w:rPr>
          <w:noProof/>
          <w:szCs w:val="21"/>
        </w:rPr>
        <w:t>from 0.05 mg/kg to</w:t>
      </w:r>
      <w:r w:rsidR="008B45CF" w:rsidRPr="008B45CF">
        <w:rPr>
          <w:noProof/>
          <w:szCs w:val="21"/>
        </w:rPr>
        <w:t xml:space="preserve"> 0.7 mg/kg in </w:t>
      </w:r>
      <w:r w:rsidR="00801084">
        <w:rPr>
          <w:noProof/>
          <w:szCs w:val="21"/>
        </w:rPr>
        <w:t>S</w:t>
      </w:r>
      <w:r w:rsidR="008B45CF" w:rsidRPr="008B45CF">
        <w:rPr>
          <w:noProof/>
          <w:szCs w:val="21"/>
        </w:rPr>
        <w:t>chedule 20 of the</w:t>
      </w:r>
      <w:r w:rsidR="008B45CF" w:rsidRPr="008B45CF">
        <w:rPr>
          <w:iCs/>
          <w:noProof/>
          <w:szCs w:val="21"/>
        </w:rPr>
        <w:t xml:space="preserve"> Code</w:t>
      </w:r>
      <w:r w:rsidR="008B45CF" w:rsidRPr="008B45CF">
        <w:rPr>
          <w:noProof/>
          <w:szCs w:val="21"/>
        </w:rPr>
        <w:t xml:space="preserve"> is supported by FSANZ</w:t>
      </w:r>
      <w:r w:rsidR="00801084">
        <w:rPr>
          <w:noProof/>
          <w:szCs w:val="21"/>
        </w:rPr>
        <w:t>.</w:t>
      </w:r>
      <w:r w:rsidR="008B45CF" w:rsidRPr="008B45CF">
        <w:rPr>
          <w:noProof/>
          <w:szCs w:val="21"/>
        </w:rPr>
        <w:t xml:space="preserve"> </w:t>
      </w:r>
      <w:r w:rsidR="00801084">
        <w:rPr>
          <w:noProof/>
          <w:szCs w:val="21"/>
        </w:rPr>
        <w:t>The estimated dietary exposure</w:t>
      </w:r>
      <w:r w:rsidR="008B45CF" w:rsidRPr="008B45CF">
        <w:rPr>
          <w:noProof/>
          <w:szCs w:val="21"/>
        </w:rPr>
        <w:t xml:space="preserve"> to </w:t>
      </w:r>
      <w:r w:rsidR="00801084">
        <w:rPr>
          <w:noProof/>
          <w:szCs w:val="21"/>
        </w:rPr>
        <w:t xml:space="preserve">imazapyr </w:t>
      </w:r>
      <w:r w:rsidR="008B45CF" w:rsidRPr="008B45CF">
        <w:rPr>
          <w:noProof/>
          <w:szCs w:val="21"/>
        </w:rPr>
        <w:t xml:space="preserve">residues </w:t>
      </w:r>
      <w:r w:rsidR="00801084">
        <w:rPr>
          <w:noProof/>
          <w:szCs w:val="21"/>
        </w:rPr>
        <w:t>in barley</w:t>
      </w:r>
      <w:r w:rsidR="008B45CF" w:rsidRPr="008B45CF">
        <w:rPr>
          <w:noProof/>
          <w:szCs w:val="21"/>
        </w:rPr>
        <w:t xml:space="preserve"> do</w:t>
      </w:r>
      <w:r w:rsidR="00BE0B5A">
        <w:rPr>
          <w:noProof/>
          <w:szCs w:val="21"/>
        </w:rPr>
        <w:t>es</w:t>
      </w:r>
      <w:r w:rsidR="008B45CF" w:rsidRPr="008B45CF">
        <w:rPr>
          <w:noProof/>
          <w:szCs w:val="21"/>
        </w:rPr>
        <w:t xml:space="preserve"> not indicate a potential public health and safety </w:t>
      </w:r>
      <w:r>
        <w:rPr>
          <w:noProof/>
          <w:szCs w:val="21"/>
        </w:rPr>
        <w:t>concern</w:t>
      </w:r>
      <w:r w:rsidRPr="008B45CF">
        <w:rPr>
          <w:noProof/>
          <w:szCs w:val="21"/>
        </w:rPr>
        <w:t xml:space="preserve"> </w:t>
      </w:r>
      <w:r w:rsidR="008B45CF" w:rsidRPr="008B45CF">
        <w:rPr>
          <w:noProof/>
          <w:szCs w:val="21"/>
        </w:rPr>
        <w:t>for the Australian population or a population subgroup.</w:t>
      </w:r>
    </w:p>
    <w:p w14:paraId="2E2C7DCA" w14:textId="77777777" w:rsidR="008B45CF" w:rsidRPr="008B45CF" w:rsidRDefault="008B45CF" w:rsidP="002C011A">
      <w:pPr>
        <w:rPr>
          <w:lang w:eastAsia="en-AU" w:bidi="ar-SA"/>
        </w:rPr>
      </w:pPr>
    </w:p>
    <w:sectPr w:rsidR="008B45CF" w:rsidRPr="008B45CF" w:rsidSect="003A58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22670" w14:textId="77777777" w:rsidR="00DF22DD" w:rsidRDefault="00DF22DD">
      <w:r>
        <w:separator/>
      </w:r>
    </w:p>
  </w:endnote>
  <w:endnote w:type="continuationSeparator" w:id="0">
    <w:p w14:paraId="13F82994" w14:textId="77777777" w:rsidR="00DF22DD" w:rsidRDefault="00DF22DD">
      <w:r>
        <w:continuationSeparator/>
      </w:r>
    </w:p>
  </w:endnote>
  <w:endnote w:type="continuationNotice" w:id="1">
    <w:p w14:paraId="1FC94440" w14:textId="77777777" w:rsidR="00DF22DD" w:rsidRDefault="00DF2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41E2" w14:textId="2709ACE5" w:rsidR="00DF22DD" w:rsidRDefault="00DF22DD" w:rsidP="00A5563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85B71B7" w14:textId="77777777" w:rsidR="00DF22DD" w:rsidRDefault="00DF22DD" w:rsidP="006F4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395754"/>
      <w:docPartObj>
        <w:docPartGallery w:val="Page Numbers (Bottom of Page)"/>
        <w:docPartUnique/>
      </w:docPartObj>
    </w:sdtPr>
    <w:sdtEndPr>
      <w:rPr>
        <w:noProof/>
      </w:rPr>
    </w:sdtEndPr>
    <w:sdtContent>
      <w:p w14:paraId="719DF0BF" w14:textId="38D0A581" w:rsidR="00FF56E8" w:rsidRDefault="00FF56E8">
        <w:pPr>
          <w:pStyle w:val="Footer"/>
          <w:jc w:val="center"/>
        </w:pPr>
        <w:r>
          <w:fldChar w:fldCharType="begin"/>
        </w:r>
        <w:r>
          <w:instrText xml:space="preserve"> PAGE   \* MERGEFORMAT </w:instrText>
        </w:r>
        <w:r>
          <w:fldChar w:fldCharType="separate"/>
        </w:r>
        <w:r w:rsidR="00533EF1">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7837B" w14:textId="77777777" w:rsidR="00533EF1" w:rsidRDefault="0053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FA223" w14:textId="77777777" w:rsidR="00DF22DD" w:rsidRDefault="00DF22DD">
      <w:r>
        <w:separator/>
      </w:r>
    </w:p>
  </w:footnote>
  <w:footnote w:type="continuationSeparator" w:id="0">
    <w:p w14:paraId="47253305" w14:textId="77777777" w:rsidR="00DF22DD" w:rsidRDefault="00DF22DD">
      <w:r>
        <w:continuationSeparator/>
      </w:r>
    </w:p>
  </w:footnote>
  <w:footnote w:type="continuationNotice" w:id="1">
    <w:p w14:paraId="5332C401" w14:textId="77777777" w:rsidR="00DF22DD" w:rsidRDefault="00DF22DD"/>
  </w:footnote>
  <w:footnote w:id="2">
    <w:p w14:paraId="376BB023" w14:textId="77777777" w:rsidR="00DF22DD" w:rsidRPr="00910D97" w:rsidRDefault="00DF22DD" w:rsidP="004779E4">
      <w:pPr>
        <w:pStyle w:val="FootnoteText"/>
        <w:rPr>
          <w:lang w:val="en-AU"/>
        </w:rPr>
      </w:pPr>
      <w:r>
        <w:rPr>
          <w:rStyle w:val="FootnoteReference"/>
        </w:rPr>
        <w:footnoteRef/>
      </w:r>
      <w:r>
        <w:t xml:space="preserve"> </w:t>
      </w:r>
      <w:hyperlink r:id="rId1" w:history="1">
        <w:r w:rsidRPr="00777BF6">
          <w:rPr>
            <w:rStyle w:val="Hyperlink"/>
          </w:rPr>
          <w:t>http://www.foodstandards.gov.au/science/exposure/Pages/dietaryexposureandin4438.aspx</w:t>
        </w:r>
      </w:hyperlink>
    </w:p>
  </w:footnote>
  <w:footnote w:id="3">
    <w:p w14:paraId="188FBF83" w14:textId="77777777" w:rsidR="00DF22DD" w:rsidRDefault="00DF22DD" w:rsidP="006C0B73">
      <w:pPr>
        <w:pStyle w:val="BODYTEXT0"/>
        <w:rPr>
          <w:sz w:val="18"/>
        </w:rPr>
      </w:pPr>
      <w:r>
        <w:rPr>
          <w:sz w:val="18"/>
        </w:rPr>
        <w:footnoteRef/>
      </w:r>
      <w:r>
        <w:rPr>
          <w:sz w:val="18"/>
        </w:rPr>
        <w:t xml:space="preserve"> WHO (2008). Consultations and workshops: Dietary Exposure Assessment of Chemicals in Food: Report of a joint FAO/WHO Consultation, Annapolis, Maryland, USA, 2-6 May 2005.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45DF" w14:textId="77777777" w:rsidR="00533EF1" w:rsidRDefault="00533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E47" w14:textId="77777777" w:rsidR="00533EF1" w:rsidRDefault="00533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082B5" w14:textId="3664C076" w:rsidR="00DF22DD" w:rsidRDefault="00DF22D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75D1"/>
    <w:multiLevelType w:val="multilevel"/>
    <w:tmpl w:val="33B075AE"/>
    <w:lvl w:ilvl="0">
      <w:start w:val="1"/>
      <w:numFmt w:val="decimal"/>
      <w:lvlText w:val="%1."/>
      <w:lvlJc w:val="left"/>
      <w:pPr>
        <w:ind w:left="720" w:hanging="360"/>
      </w:pPr>
    </w:lvl>
    <w:lvl w:ilvl="1">
      <w:start w:val="1"/>
      <w:numFmt w:val="decimal"/>
      <w:isLgl/>
      <w:lvlText w:val="%1.%2"/>
      <w:lvlJc w:val="left"/>
      <w:pPr>
        <w:ind w:left="1281" w:hanging="855"/>
      </w:pPr>
      <w:rPr>
        <w:rFonts w:hint="default"/>
      </w:rPr>
    </w:lvl>
    <w:lvl w:ilvl="2">
      <w:start w:val="1"/>
      <w:numFmt w:val="decimal"/>
      <w:isLgl/>
      <w:lvlText w:val="%1.%2.%3"/>
      <w:lvlJc w:val="left"/>
      <w:pPr>
        <w:ind w:left="3331" w:hanging="855"/>
      </w:pPr>
      <w:rPr>
        <w:rFonts w:hint="default"/>
      </w:rPr>
    </w:lvl>
    <w:lvl w:ilvl="3">
      <w:start w:val="1"/>
      <w:numFmt w:val="decimal"/>
      <w:isLgl/>
      <w:lvlText w:val="%1.%2.%3.%4"/>
      <w:lvlJc w:val="left"/>
      <w:pPr>
        <w:ind w:left="4389" w:hanging="855"/>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657E5DA8"/>
    <w:multiLevelType w:val="hybridMultilevel"/>
    <w:tmpl w:val="21EA69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C2"/>
    <w:rsid w:val="00000296"/>
    <w:rsid w:val="00001CF2"/>
    <w:rsid w:val="0000247B"/>
    <w:rsid w:val="00002CEE"/>
    <w:rsid w:val="0000469B"/>
    <w:rsid w:val="0001216E"/>
    <w:rsid w:val="00020660"/>
    <w:rsid w:val="00023DDC"/>
    <w:rsid w:val="00027B2F"/>
    <w:rsid w:val="00035FF3"/>
    <w:rsid w:val="00051021"/>
    <w:rsid w:val="00051ED9"/>
    <w:rsid w:val="00057181"/>
    <w:rsid w:val="0006473A"/>
    <w:rsid w:val="00064B2D"/>
    <w:rsid w:val="00065F1F"/>
    <w:rsid w:val="00076D33"/>
    <w:rsid w:val="000836C2"/>
    <w:rsid w:val="00090366"/>
    <w:rsid w:val="00092CDA"/>
    <w:rsid w:val="000A27E9"/>
    <w:rsid w:val="000A3D8B"/>
    <w:rsid w:val="000A5DF8"/>
    <w:rsid w:val="000B6AF2"/>
    <w:rsid w:val="000C6544"/>
    <w:rsid w:val="000D254C"/>
    <w:rsid w:val="000D6FD4"/>
    <w:rsid w:val="000E0AE4"/>
    <w:rsid w:val="000E3DBC"/>
    <w:rsid w:val="000E4FC2"/>
    <w:rsid w:val="000E6E1E"/>
    <w:rsid w:val="000F2B9D"/>
    <w:rsid w:val="00113CE3"/>
    <w:rsid w:val="00117522"/>
    <w:rsid w:val="001532B3"/>
    <w:rsid w:val="001542D8"/>
    <w:rsid w:val="00165B69"/>
    <w:rsid w:val="00176BB3"/>
    <w:rsid w:val="00180C41"/>
    <w:rsid w:val="0018223E"/>
    <w:rsid w:val="00182C4C"/>
    <w:rsid w:val="001873EE"/>
    <w:rsid w:val="00191E94"/>
    <w:rsid w:val="00195457"/>
    <w:rsid w:val="001971FD"/>
    <w:rsid w:val="00197D8D"/>
    <w:rsid w:val="001A1A75"/>
    <w:rsid w:val="001A67A0"/>
    <w:rsid w:val="001A7E9A"/>
    <w:rsid w:val="001C27A3"/>
    <w:rsid w:val="001C5295"/>
    <w:rsid w:val="001D2907"/>
    <w:rsid w:val="001D3A98"/>
    <w:rsid w:val="001D3CB6"/>
    <w:rsid w:val="001E09FA"/>
    <w:rsid w:val="001F6C2F"/>
    <w:rsid w:val="00203540"/>
    <w:rsid w:val="00210A61"/>
    <w:rsid w:val="0021124C"/>
    <w:rsid w:val="00216003"/>
    <w:rsid w:val="0021612B"/>
    <w:rsid w:val="0021714B"/>
    <w:rsid w:val="002202ED"/>
    <w:rsid w:val="0022083A"/>
    <w:rsid w:val="00221D07"/>
    <w:rsid w:val="002220F0"/>
    <w:rsid w:val="002242ED"/>
    <w:rsid w:val="00224510"/>
    <w:rsid w:val="002250EE"/>
    <w:rsid w:val="00227E4A"/>
    <w:rsid w:val="0024582E"/>
    <w:rsid w:val="00245C56"/>
    <w:rsid w:val="00253146"/>
    <w:rsid w:val="002547EF"/>
    <w:rsid w:val="002549AF"/>
    <w:rsid w:val="00256D65"/>
    <w:rsid w:val="00271F00"/>
    <w:rsid w:val="00273A80"/>
    <w:rsid w:val="0029204E"/>
    <w:rsid w:val="00292928"/>
    <w:rsid w:val="0029631C"/>
    <w:rsid w:val="002A0194"/>
    <w:rsid w:val="002A0C5C"/>
    <w:rsid w:val="002A3314"/>
    <w:rsid w:val="002A41CD"/>
    <w:rsid w:val="002A5F8B"/>
    <w:rsid w:val="002A7F6C"/>
    <w:rsid w:val="002C011A"/>
    <w:rsid w:val="002D3129"/>
    <w:rsid w:val="002D519A"/>
    <w:rsid w:val="002D6809"/>
    <w:rsid w:val="002D7A6A"/>
    <w:rsid w:val="002F5481"/>
    <w:rsid w:val="002F6488"/>
    <w:rsid w:val="003046C2"/>
    <w:rsid w:val="003151FF"/>
    <w:rsid w:val="00320839"/>
    <w:rsid w:val="003213F9"/>
    <w:rsid w:val="00322C71"/>
    <w:rsid w:val="00323DBF"/>
    <w:rsid w:val="00326D85"/>
    <w:rsid w:val="003309A8"/>
    <w:rsid w:val="00332B12"/>
    <w:rsid w:val="00340EB3"/>
    <w:rsid w:val="003432EF"/>
    <w:rsid w:val="00344E75"/>
    <w:rsid w:val="00351B07"/>
    <w:rsid w:val="00352370"/>
    <w:rsid w:val="00352CF2"/>
    <w:rsid w:val="00364841"/>
    <w:rsid w:val="00371B29"/>
    <w:rsid w:val="0037656B"/>
    <w:rsid w:val="00391769"/>
    <w:rsid w:val="003953E1"/>
    <w:rsid w:val="003956B3"/>
    <w:rsid w:val="003A331C"/>
    <w:rsid w:val="003A5828"/>
    <w:rsid w:val="003A68BE"/>
    <w:rsid w:val="003B05A5"/>
    <w:rsid w:val="003B1805"/>
    <w:rsid w:val="003B3C9D"/>
    <w:rsid w:val="003B78E0"/>
    <w:rsid w:val="003C4969"/>
    <w:rsid w:val="003C53A3"/>
    <w:rsid w:val="003C63DC"/>
    <w:rsid w:val="003D6946"/>
    <w:rsid w:val="003E41D5"/>
    <w:rsid w:val="003E46BA"/>
    <w:rsid w:val="003E7D22"/>
    <w:rsid w:val="003F74C1"/>
    <w:rsid w:val="00403DAA"/>
    <w:rsid w:val="00405B1A"/>
    <w:rsid w:val="00410C76"/>
    <w:rsid w:val="00411907"/>
    <w:rsid w:val="004136D9"/>
    <w:rsid w:val="00413CA8"/>
    <w:rsid w:val="00417EE3"/>
    <w:rsid w:val="004207EB"/>
    <w:rsid w:val="00437276"/>
    <w:rsid w:val="00437649"/>
    <w:rsid w:val="00451166"/>
    <w:rsid w:val="00453B21"/>
    <w:rsid w:val="00456B54"/>
    <w:rsid w:val="00457A38"/>
    <w:rsid w:val="00464643"/>
    <w:rsid w:val="00476FB6"/>
    <w:rsid w:val="004779E4"/>
    <w:rsid w:val="00486793"/>
    <w:rsid w:val="004901EA"/>
    <w:rsid w:val="004A1F03"/>
    <w:rsid w:val="004A2037"/>
    <w:rsid w:val="004A6ED0"/>
    <w:rsid w:val="004C2CE7"/>
    <w:rsid w:val="004D30AB"/>
    <w:rsid w:val="004F035B"/>
    <w:rsid w:val="004F0A29"/>
    <w:rsid w:val="004F38DA"/>
    <w:rsid w:val="004F4F98"/>
    <w:rsid w:val="004F69F6"/>
    <w:rsid w:val="004F79AC"/>
    <w:rsid w:val="005017CF"/>
    <w:rsid w:val="00504FC4"/>
    <w:rsid w:val="005122A9"/>
    <w:rsid w:val="005207D8"/>
    <w:rsid w:val="00523531"/>
    <w:rsid w:val="00533EF1"/>
    <w:rsid w:val="0053464E"/>
    <w:rsid w:val="005367AE"/>
    <w:rsid w:val="005378AE"/>
    <w:rsid w:val="0054272D"/>
    <w:rsid w:val="00562917"/>
    <w:rsid w:val="0057615C"/>
    <w:rsid w:val="00586228"/>
    <w:rsid w:val="005A10DD"/>
    <w:rsid w:val="005A1D97"/>
    <w:rsid w:val="005A58F3"/>
    <w:rsid w:val="005B6AF4"/>
    <w:rsid w:val="005B7A73"/>
    <w:rsid w:val="005C04CB"/>
    <w:rsid w:val="005C7AD3"/>
    <w:rsid w:val="005D16AD"/>
    <w:rsid w:val="005D72E1"/>
    <w:rsid w:val="005E6E16"/>
    <w:rsid w:val="005F400E"/>
    <w:rsid w:val="005F7342"/>
    <w:rsid w:val="00603A08"/>
    <w:rsid w:val="00604438"/>
    <w:rsid w:val="006058D1"/>
    <w:rsid w:val="00610A3C"/>
    <w:rsid w:val="00612CE7"/>
    <w:rsid w:val="00620873"/>
    <w:rsid w:val="00627F48"/>
    <w:rsid w:val="00630C23"/>
    <w:rsid w:val="00634BF8"/>
    <w:rsid w:val="00641645"/>
    <w:rsid w:val="006460AB"/>
    <w:rsid w:val="00663FCF"/>
    <w:rsid w:val="006652A2"/>
    <w:rsid w:val="00670692"/>
    <w:rsid w:val="006756BD"/>
    <w:rsid w:val="00690206"/>
    <w:rsid w:val="006937FF"/>
    <w:rsid w:val="006A2A7D"/>
    <w:rsid w:val="006A48A7"/>
    <w:rsid w:val="006A5D04"/>
    <w:rsid w:val="006B0FB0"/>
    <w:rsid w:val="006B2C25"/>
    <w:rsid w:val="006B4BA1"/>
    <w:rsid w:val="006B5EBE"/>
    <w:rsid w:val="006C0B73"/>
    <w:rsid w:val="006C5CF5"/>
    <w:rsid w:val="006C6401"/>
    <w:rsid w:val="006E4A54"/>
    <w:rsid w:val="006F4A82"/>
    <w:rsid w:val="006F4F4C"/>
    <w:rsid w:val="0070373B"/>
    <w:rsid w:val="00705499"/>
    <w:rsid w:val="00724FA4"/>
    <w:rsid w:val="00730800"/>
    <w:rsid w:val="00731C03"/>
    <w:rsid w:val="007348C7"/>
    <w:rsid w:val="00747E16"/>
    <w:rsid w:val="0075271B"/>
    <w:rsid w:val="0075604E"/>
    <w:rsid w:val="007602AA"/>
    <w:rsid w:val="007652EF"/>
    <w:rsid w:val="00772BDC"/>
    <w:rsid w:val="00780792"/>
    <w:rsid w:val="007865E6"/>
    <w:rsid w:val="00796562"/>
    <w:rsid w:val="007A44B4"/>
    <w:rsid w:val="007A7D3D"/>
    <w:rsid w:val="007B225D"/>
    <w:rsid w:val="007B6828"/>
    <w:rsid w:val="007C174F"/>
    <w:rsid w:val="007C1C64"/>
    <w:rsid w:val="007D03EA"/>
    <w:rsid w:val="007D03EC"/>
    <w:rsid w:val="007E48BC"/>
    <w:rsid w:val="007E79F7"/>
    <w:rsid w:val="007F1264"/>
    <w:rsid w:val="007F3630"/>
    <w:rsid w:val="00801084"/>
    <w:rsid w:val="00807559"/>
    <w:rsid w:val="00810211"/>
    <w:rsid w:val="008109D8"/>
    <w:rsid w:val="00810F05"/>
    <w:rsid w:val="00843EC0"/>
    <w:rsid w:val="008450BC"/>
    <w:rsid w:val="0085334B"/>
    <w:rsid w:val="00870214"/>
    <w:rsid w:val="008726C1"/>
    <w:rsid w:val="00885134"/>
    <w:rsid w:val="00885C51"/>
    <w:rsid w:val="00885EB0"/>
    <w:rsid w:val="00891F4B"/>
    <w:rsid w:val="0089264A"/>
    <w:rsid w:val="00892B14"/>
    <w:rsid w:val="00893071"/>
    <w:rsid w:val="00896B85"/>
    <w:rsid w:val="008A22BE"/>
    <w:rsid w:val="008A68C4"/>
    <w:rsid w:val="008B45CF"/>
    <w:rsid w:val="008C1B36"/>
    <w:rsid w:val="008D06C6"/>
    <w:rsid w:val="008D743C"/>
    <w:rsid w:val="008E4F26"/>
    <w:rsid w:val="008E6250"/>
    <w:rsid w:val="00902AF6"/>
    <w:rsid w:val="00904D56"/>
    <w:rsid w:val="00905C9C"/>
    <w:rsid w:val="00920249"/>
    <w:rsid w:val="00924C80"/>
    <w:rsid w:val="00926910"/>
    <w:rsid w:val="00932F14"/>
    <w:rsid w:val="0094247F"/>
    <w:rsid w:val="00942D60"/>
    <w:rsid w:val="00955269"/>
    <w:rsid w:val="0096344C"/>
    <w:rsid w:val="0096523B"/>
    <w:rsid w:val="00966EE3"/>
    <w:rsid w:val="00970C81"/>
    <w:rsid w:val="00972D06"/>
    <w:rsid w:val="00972F5B"/>
    <w:rsid w:val="00981FA8"/>
    <w:rsid w:val="009A391C"/>
    <w:rsid w:val="009A49F4"/>
    <w:rsid w:val="009A50F2"/>
    <w:rsid w:val="009A772B"/>
    <w:rsid w:val="009B2F4C"/>
    <w:rsid w:val="009D693D"/>
    <w:rsid w:val="009E0A61"/>
    <w:rsid w:val="009E3010"/>
    <w:rsid w:val="009E46AF"/>
    <w:rsid w:val="009E7F7C"/>
    <w:rsid w:val="009F007E"/>
    <w:rsid w:val="009F7065"/>
    <w:rsid w:val="00A23733"/>
    <w:rsid w:val="00A338A7"/>
    <w:rsid w:val="00A409F9"/>
    <w:rsid w:val="00A4175D"/>
    <w:rsid w:val="00A5024A"/>
    <w:rsid w:val="00A5563A"/>
    <w:rsid w:val="00A55FCA"/>
    <w:rsid w:val="00A56DC7"/>
    <w:rsid w:val="00A74FD1"/>
    <w:rsid w:val="00A77BFA"/>
    <w:rsid w:val="00A84A58"/>
    <w:rsid w:val="00A96935"/>
    <w:rsid w:val="00AA44F9"/>
    <w:rsid w:val="00AC1AC4"/>
    <w:rsid w:val="00AE38DB"/>
    <w:rsid w:val="00AF06FC"/>
    <w:rsid w:val="00AF3391"/>
    <w:rsid w:val="00AF387F"/>
    <w:rsid w:val="00AF60E0"/>
    <w:rsid w:val="00AF7DE1"/>
    <w:rsid w:val="00B00E7F"/>
    <w:rsid w:val="00B0102B"/>
    <w:rsid w:val="00B07ECA"/>
    <w:rsid w:val="00B12F1E"/>
    <w:rsid w:val="00B173DA"/>
    <w:rsid w:val="00B21DCC"/>
    <w:rsid w:val="00B25F37"/>
    <w:rsid w:val="00B30610"/>
    <w:rsid w:val="00B338E6"/>
    <w:rsid w:val="00B37BF0"/>
    <w:rsid w:val="00B44076"/>
    <w:rsid w:val="00B44422"/>
    <w:rsid w:val="00B46EA0"/>
    <w:rsid w:val="00B72C98"/>
    <w:rsid w:val="00B731D3"/>
    <w:rsid w:val="00B839A3"/>
    <w:rsid w:val="00B902BD"/>
    <w:rsid w:val="00BA24E2"/>
    <w:rsid w:val="00BA3507"/>
    <w:rsid w:val="00BA4F1F"/>
    <w:rsid w:val="00BB111A"/>
    <w:rsid w:val="00BB1E83"/>
    <w:rsid w:val="00BC6485"/>
    <w:rsid w:val="00BD2A39"/>
    <w:rsid w:val="00BD2E80"/>
    <w:rsid w:val="00BD343A"/>
    <w:rsid w:val="00BE0B5A"/>
    <w:rsid w:val="00BE11B8"/>
    <w:rsid w:val="00BF0BF2"/>
    <w:rsid w:val="00BF7FF0"/>
    <w:rsid w:val="00C003C5"/>
    <w:rsid w:val="00C057F4"/>
    <w:rsid w:val="00C12502"/>
    <w:rsid w:val="00C32C8F"/>
    <w:rsid w:val="00C36578"/>
    <w:rsid w:val="00C40AA5"/>
    <w:rsid w:val="00C4420E"/>
    <w:rsid w:val="00C46F70"/>
    <w:rsid w:val="00C476D0"/>
    <w:rsid w:val="00C61AC1"/>
    <w:rsid w:val="00C64FD3"/>
    <w:rsid w:val="00C836E3"/>
    <w:rsid w:val="00C86577"/>
    <w:rsid w:val="00C92E07"/>
    <w:rsid w:val="00C93B19"/>
    <w:rsid w:val="00C96868"/>
    <w:rsid w:val="00C969CA"/>
    <w:rsid w:val="00CA0416"/>
    <w:rsid w:val="00CA641D"/>
    <w:rsid w:val="00CC560B"/>
    <w:rsid w:val="00CC75E2"/>
    <w:rsid w:val="00CD0C95"/>
    <w:rsid w:val="00CD46EB"/>
    <w:rsid w:val="00CD65C6"/>
    <w:rsid w:val="00CD7EBF"/>
    <w:rsid w:val="00CE33B5"/>
    <w:rsid w:val="00CF0587"/>
    <w:rsid w:val="00D056F1"/>
    <w:rsid w:val="00D11171"/>
    <w:rsid w:val="00D2149D"/>
    <w:rsid w:val="00D22F3C"/>
    <w:rsid w:val="00D23DB6"/>
    <w:rsid w:val="00D36856"/>
    <w:rsid w:val="00D43FE6"/>
    <w:rsid w:val="00D51A95"/>
    <w:rsid w:val="00D57FA1"/>
    <w:rsid w:val="00D60568"/>
    <w:rsid w:val="00D62BE0"/>
    <w:rsid w:val="00D70C7A"/>
    <w:rsid w:val="00D81D38"/>
    <w:rsid w:val="00D9620E"/>
    <w:rsid w:val="00DA10A8"/>
    <w:rsid w:val="00DA167B"/>
    <w:rsid w:val="00DB1E08"/>
    <w:rsid w:val="00DB2973"/>
    <w:rsid w:val="00DB6415"/>
    <w:rsid w:val="00DC1B56"/>
    <w:rsid w:val="00DC2129"/>
    <w:rsid w:val="00DC6570"/>
    <w:rsid w:val="00DD3C5E"/>
    <w:rsid w:val="00DF22DD"/>
    <w:rsid w:val="00DF25C3"/>
    <w:rsid w:val="00E04062"/>
    <w:rsid w:val="00E063C6"/>
    <w:rsid w:val="00E066BA"/>
    <w:rsid w:val="00E2003B"/>
    <w:rsid w:val="00E203C2"/>
    <w:rsid w:val="00E279D8"/>
    <w:rsid w:val="00E319B1"/>
    <w:rsid w:val="00E357D2"/>
    <w:rsid w:val="00E44E0D"/>
    <w:rsid w:val="00E4623F"/>
    <w:rsid w:val="00E5492F"/>
    <w:rsid w:val="00E62DEF"/>
    <w:rsid w:val="00E63D57"/>
    <w:rsid w:val="00E66847"/>
    <w:rsid w:val="00E70A86"/>
    <w:rsid w:val="00E777EC"/>
    <w:rsid w:val="00E80FCD"/>
    <w:rsid w:val="00E922D3"/>
    <w:rsid w:val="00EA1892"/>
    <w:rsid w:val="00EA7F2F"/>
    <w:rsid w:val="00EC00DE"/>
    <w:rsid w:val="00EC0683"/>
    <w:rsid w:val="00EC30E1"/>
    <w:rsid w:val="00ED172A"/>
    <w:rsid w:val="00EF52FE"/>
    <w:rsid w:val="00F05388"/>
    <w:rsid w:val="00F11F6C"/>
    <w:rsid w:val="00F14BEC"/>
    <w:rsid w:val="00F225C5"/>
    <w:rsid w:val="00F2587A"/>
    <w:rsid w:val="00F31BCF"/>
    <w:rsid w:val="00F3715D"/>
    <w:rsid w:val="00F420C8"/>
    <w:rsid w:val="00F42A4C"/>
    <w:rsid w:val="00F5393F"/>
    <w:rsid w:val="00F55444"/>
    <w:rsid w:val="00F5750A"/>
    <w:rsid w:val="00F576DE"/>
    <w:rsid w:val="00F604DE"/>
    <w:rsid w:val="00F71DD1"/>
    <w:rsid w:val="00F7497D"/>
    <w:rsid w:val="00F90D8E"/>
    <w:rsid w:val="00F953C2"/>
    <w:rsid w:val="00FA01B2"/>
    <w:rsid w:val="00FB7512"/>
    <w:rsid w:val="00FC22EE"/>
    <w:rsid w:val="00FC7AEB"/>
    <w:rsid w:val="00FD7547"/>
    <w:rsid w:val="00FD7B71"/>
    <w:rsid w:val="00FE1CDC"/>
    <w:rsid w:val="00FE24AF"/>
    <w:rsid w:val="00FE40EA"/>
    <w:rsid w:val="00FF56E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2B9CE24"/>
  <w15:docId w15:val="{841885D8-F8ED-408A-98F5-9CC7AA6A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
    <w:basedOn w:val="DefaultParagraphFont"/>
    <w:link w:val="FootnoteText"/>
    <w:uiPriority w:val="5"/>
    <w:rsid w:val="000E4FC2"/>
    <w:rPr>
      <w:rFonts w:ascii="Arial" w:hAnsi="Arial"/>
      <w:lang w:eastAsia="en-US" w:bidi="en-US"/>
    </w:rPr>
  </w:style>
  <w:style w:type="paragraph" w:customStyle="1" w:styleId="Default">
    <w:name w:val="Default"/>
    <w:rsid w:val="000E4FC2"/>
    <w:pPr>
      <w:autoSpaceDE w:val="0"/>
      <w:autoSpaceDN w:val="0"/>
      <w:adjustRightInd w:val="0"/>
    </w:pPr>
    <w:rPr>
      <w:rFonts w:ascii="Arial" w:eastAsiaTheme="minorHAnsi" w:hAnsi="Arial" w:cs="Arial"/>
      <w:color w:val="000000"/>
      <w:sz w:val="24"/>
      <w:szCs w:val="24"/>
      <w:lang w:eastAsia="en-US"/>
    </w:rPr>
  </w:style>
  <w:style w:type="paragraph" w:styleId="CommentSubject">
    <w:name w:val="annotation subject"/>
    <w:basedOn w:val="CommentText"/>
    <w:next w:val="CommentText"/>
    <w:link w:val="CommentSubjectChar"/>
    <w:semiHidden/>
    <w:unhideWhenUsed/>
    <w:rsid w:val="0075271B"/>
    <w:rPr>
      <w:b/>
      <w:bCs/>
    </w:rPr>
  </w:style>
  <w:style w:type="character" w:customStyle="1" w:styleId="CommentSubjectChar">
    <w:name w:val="Comment Subject Char"/>
    <w:basedOn w:val="CommentTextChar"/>
    <w:link w:val="CommentSubject"/>
    <w:semiHidden/>
    <w:rsid w:val="0075271B"/>
    <w:rPr>
      <w:rFonts w:ascii="Arial" w:hAnsi="Arial"/>
      <w:b/>
      <w:bCs/>
      <w:lang w:eastAsia="en-US" w:bidi="en-US"/>
    </w:rPr>
  </w:style>
  <w:style w:type="paragraph" w:styleId="BodyText">
    <w:name w:val="Body Text"/>
    <w:basedOn w:val="Normal"/>
    <w:link w:val="BodyTextChar"/>
    <w:semiHidden/>
    <w:rsid w:val="00002CEE"/>
    <w:pPr>
      <w:widowControl/>
    </w:pPr>
    <w:rPr>
      <w:rFonts w:ascii="Times New Roman" w:hAnsi="Times New Roman"/>
      <w:b/>
      <w:sz w:val="24"/>
      <w:szCs w:val="20"/>
      <w:lang w:bidi="ar-SA"/>
    </w:rPr>
  </w:style>
  <w:style w:type="character" w:customStyle="1" w:styleId="BodyTextChar">
    <w:name w:val="Body Text Char"/>
    <w:basedOn w:val="DefaultParagraphFont"/>
    <w:link w:val="BodyText"/>
    <w:semiHidden/>
    <w:rsid w:val="00002CEE"/>
    <w:rPr>
      <w:rFonts w:ascii="Times New Roman" w:hAnsi="Times New Roman"/>
      <w:b/>
      <w:sz w:val="24"/>
      <w:lang w:eastAsia="en-US"/>
    </w:rPr>
  </w:style>
  <w:style w:type="paragraph" w:customStyle="1" w:styleId="BODYTEXT0">
    <w:name w:val="BODYTEXT"/>
    <w:rsid w:val="00002CEE"/>
    <w:rPr>
      <w:rFonts w:ascii="Times New Roman" w:hAnsi="Times New Roman"/>
      <w:sz w:val="24"/>
      <w:lang w:val="en-AU" w:eastAsia="en-US"/>
    </w:rPr>
  </w:style>
  <w:style w:type="paragraph" w:styleId="ListParagraph">
    <w:name w:val="List Paragraph"/>
    <w:basedOn w:val="Normal"/>
    <w:uiPriority w:val="34"/>
    <w:rsid w:val="00191E94"/>
    <w:pPr>
      <w:ind w:left="720"/>
      <w:contextualSpacing/>
    </w:pPr>
  </w:style>
  <w:style w:type="character" w:customStyle="1" w:styleId="FooterChar">
    <w:name w:val="Footer Char"/>
    <w:basedOn w:val="DefaultParagraphFont"/>
    <w:link w:val="Footer"/>
    <w:uiPriority w:val="99"/>
    <w:rsid w:val="001873EE"/>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dmin-www.foodstandards.gov.au/science/exposure/Pages/dietaryexposureandin4438.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admin-www.foodstandards.gov.au/science/exposure/Pages/dietaryexposureandin4438.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0F9E6-BC33-4EBB-BAEC-8E0161F0DC28}"/>
</file>

<file path=customXml/itemProps2.xml><?xml version="1.0" encoding="utf-8"?>
<ds:datastoreItem xmlns:ds="http://schemas.openxmlformats.org/officeDocument/2006/customXml" ds:itemID="{A60F9211-793D-4099-A872-F1D8BBEDD099}"/>
</file>

<file path=customXml/itemProps3.xml><?xml version="1.0" encoding="utf-8"?>
<ds:datastoreItem xmlns:ds="http://schemas.openxmlformats.org/officeDocument/2006/customXml" ds:itemID="{7B86EA6C-0700-449E-876C-0A55963AC0BE}"/>
</file>

<file path=customXml/itemProps4.xml><?xml version="1.0" encoding="utf-8"?>
<ds:datastoreItem xmlns:ds="http://schemas.openxmlformats.org/officeDocument/2006/customXml" ds:itemID="{BCDC4798-1FC4-4EEF-AEB4-EE9901EDDAF5}">
  <ds:schemaRefs>
    <ds:schemaRef ds:uri="Microsoft.SharePoint.Taxonomy.ContentTypeSync"/>
  </ds:schemaRefs>
</ds:datastoreItem>
</file>

<file path=customXml/itemProps5.xml><?xml version="1.0" encoding="utf-8"?>
<ds:datastoreItem xmlns:ds="http://schemas.openxmlformats.org/officeDocument/2006/customXml" ds:itemID="{F678F5DB-6E5B-4ECE-B53F-65D2E9827B6A}"/>
</file>

<file path=customXml/itemProps6.xml><?xml version="1.0" encoding="utf-8"?>
<ds:datastoreItem xmlns:ds="http://schemas.openxmlformats.org/officeDocument/2006/customXml" ds:itemID="{DC94DCC4-068B-47D2-B871-4E0AE79351B6}"/>
</file>

<file path=customXml/itemProps7.xml><?xml version="1.0" encoding="utf-8"?>
<ds:datastoreItem xmlns:ds="http://schemas.openxmlformats.org/officeDocument/2006/customXml" ds:itemID="{63E8B786-9B9D-4609-B8B9-C40AE1125F13}"/>
</file>

<file path=docProps/app.xml><?xml version="1.0" encoding="utf-8"?>
<Properties xmlns="http://schemas.openxmlformats.org/officeDocument/2006/extended-properties" xmlns:vt="http://schemas.openxmlformats.org/officeDocument/2006/docPropsVTypes">
  <Template>Report - Supporting document</Template>
  <TotalTime>0</TotalTime>
  <Pages>5</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10272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dugbaj</dc:creator>
  <cp:keywords/>
  <cp:lastModifiedBy>CoughC</cp:lastModifiedBy>
  <cp:revision>2</cp:revision>
  <cp:lastPrinted>2019-09-17T04:23:00Z</cp:lastPrinted>
  <dcterms:created xsi:type="dcterms:W3CDTF">2019-10-03T00:19:00Z</dcterms:created>
  <dcterms:modified xsi:type="dcterms:W3CDTF">2019-10-03T00:19:00Z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047757ef-320c-4983-a7b8-ff0b5438dd38</vt:lpwstr>
  </property>
  <property fmtid="{D5CDD505-2E9C-101B-9397-08002B2CF9AE}" pid="6" name="DisposalClass">
    <vt:lpwstr/>
  </property>
  <property fmtid="{D5CDD505-2E9C-101B-9397-08002B2CF9AE}" pid="7" name="BCS_">
    <vt:lpwstr>40;#Evaluation|43bd8487-b9f6-4055-946c-a118d364275d</vt:lpwstr>
  </property>
  <property fmtid="{D5CDD505-2E9C-101B-9397-08002B2CF9AE}" pid="8" name="RecordPoint_WorkflowType">
    <vt:lpwstr>ActiveSubmitStub</vt:lpwstr>
  </property>
  <property fmtid="{D5CDD505-2E9C-101B-9397-08002B2CF9AE}" pid="9" name="RecordPoint_ActiveItemUniqueId">
    <vt:lpwstr>{02bfb850-7ed7-4777-a03e-06a78962cc7c}</vt:lpwstr>
  </property>
  <property fmtid="{D5CDD505-2E9C-101B-9397-08002B2CF9AE}" pid="10" name="RecordPoint_ActiveItemWebId">
    <vt:lpwstr>{304f5e04-7656-40b7-90f7-f2941ba52096}</vt:lpwstr>
  </property>
  <property fmtid="{D5CDD505-2E9C-101B-9397-08002B2CF9AE}" pid="11" name="RecordPoint_ActiveItemSiteId">
    <vt:lpwstr>{dd95a578-5c6a-4f11-92f7-f95884d628d6}</vt:lpwstr>
  </property>
  <property fmtid="{D5CDD505-2E9C-101B-9397-08002B2CF9AE}" pid="12" name="RecordPoint_ActiveItemListId">
    <vt:lpwstr>{437ccb0a-e38f-4821-be04-fd314d94df4d}</vt:lpwstr>
  </property>
  <property fmtid="{D5CDD505-2E9C-101B-9397-08002B2CF9AE}" pid="13" name="RecordPoint_RecordNumberSubmitted">
    <vt:lpwstr>R0000116676</vt:lpwstr>
  </property>
  <property fmtid="{D5CDD505-2E9C-101B-9397-08002B2CF9AE}" pid="14" name="RecordPoint_SubmissionCompleted">
    <vt:lpwstr>2019-10-02T15:45:05.5397132+10:00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